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02C8" w14:textId="14CDFD13" w:rsidR="00E749FD" w:rsidRPr="00E749FD" w:rsidRDefault="003668F7" w:rsidP="00E749FD">
      <w:pPr>
        <w:pStyle w:val="Ingetavstnd"/>
        <w:spacing w:before="1200" w:after="120"/>
        <w:rPr>
          <w:rFonts w:ascii="Arial" w:hAnsi="Arial" w:cs="Arial"/>
          <w:b/>
          <w:sz w:val="52"/>
          <w:szCs w:val="52"/>
        </w:rPr>
      </w:pPr>
      <w:bookmarkStart w:id="0" w:name="_Toc92299471"/>
      <w:bookmarkStart w:id="1" w:name="_Toc92299430"/>
      <w:bookmarkStart w:id="2" w:name="_Toc92299286"/>
      <w:bookmarkStart w:id="3" w:name="_Toc92299171"/>
      <w:bookmarkStart w:id="4" w:name="_Toc92299130"/>
      <w:bookmarkStart w:id="5" w:name="_Toc92298975"/>
      <w:bookmarkStart w:id="6" w:name="_Toc92287715"/>
      <w:bookmarkStart w:id="7" w:name="_Toc430277558"/>
      <w:bookmarkStart w:id="8" w:name="_Toc418595696"/>
      <w:bookmarkStart w:id="9" w:name="_Toc449949575"/>
      <w:bookmarkStart w:id="10" w:name="_Toc423431722"/>
      <w:r w:rsidRPr="00E749FD">
        <w:rPr>
          <w:rFonts w:ascii="Arial" w:hAnsi="Arial" w:cs="Arial"/>
          <w:b/>
          <w:sz w:val="52"/>
          <w:szCs w:val="52"/>
        </w:rPr>
        <w:t>KVALITETSDEKLARATION</w:t>
      </w:r>
    </w:p>
    <w:p w14:paraId="45BA8D35" w14:textId="650653DD" w:rsidR="007F58AE" w:rsidRPr="00E749FD" w:rsidRDefault="00B22102" w:rsidP="00E749FD">
      <w:pPr>
        <w:pStyle w:val="Ingetavstnd"/>
        <w:spacing w:before="120" w:after="120"/>
        <w:rPr>
          <w:rFonts w:ascii="Arial" w:hAnsi="Arial" w:cs="Arial"/>
          <w:b/>
          <w:sz w:val="44"/>
          <w:szCs w:val="44"/>
        </w:rPr>
      </w:pPr>
      <w:r>
        <w:rPr>
          <w:rFonts w:ascii="Arial" w:hAnsi="Arial" w:cs="Arial"/>
          <w:b/>
          <w:sz w:val="44"/>
          <w:szCs w:val="44"/>
        </w:rPr>
        <w:t>Jordbruks</w:t>
      </w:r>
      <w:r w:rsidR="00C12568">
        <w:rPr>
          <w:rFonts w:ascii="Arial" w:hAnsi="Arial" w:cs="Arial"/>
          <w:b/>
          <w:sz w:val="44"/>
          <w:szCs w:val="44"/>
        </w:rPr>
        <w:t>ekonomiska undersökningen</w:t>
      </w:r>
    </w:p>
    <w:p w14:paraId="20C8049F" w14:textId="77777777" w:rsidR="00302206" w:rsidRDefault="00302206" w:rsidP="00F219F2"/>
    <w:p w14:paraId="47BA60F4" w14:textId="77777777" w:rsidR="00226144" w:rsidRPr="00C22920" w:rsidRDefault="003D7E93" w:rsidP="000C7C58">
      <w:pPr>
        <w:pStyle w:val="Innehllsfrteckningsrubrik"/>
        <w:rPr>
          <w:rFonts w:cs="Arial"/>
          <w:sz w:val="22"/>
          <w:szCs w:val="22"/>
        </w:rPr>
      </w:pPr>
      <w:r w:rsidRPr="00C22920">
        <w:rPr>
          <w:rFonts w:cs="Arial"/>
          <w:sz w:val="22"/>
          <w:szCs w:val="22"/>
        </w:rPr>
        <w:t>Ä</w:t>
      </w:r>
      <w:r w:rsidR="00226144" w:rsidRPr="00C22920">
        <w:rPr>
          <w:rFonts w:cs="Arial"/>
          <w:sz w:val="22"/>
          <w:szCs w:val="22"/>
        </w:rPr>
        <w:t>mnesområde</w:t>
      </w:r>
    </w:p>
    <w:p w14:paraId="5426417D" w14:textId="7710ECC4" w:rsidR="00740310" w:rsidRDefault="00226C35" w:rsidP="00226C35">
      <w:pPr>
        <w:rPr>
          <w:lang w:eastAsia="sv-SE"/>
        </w:rPr>
      </w:pPr>
      <w:r>
        <w:rPr>
          <w:lang w:eastAsia="sv-SE"/>
        </w:rPr>
        <w:t>Jord- och skogsbruk, fiske</w:t>
      </w:r>
    </w:p>
    <w:p w14:paraId="5F5818EE" w14:textId="77777777" w:rsidR="00A47278" w:rsidRPr="00226C35" w:rsidRDefault="00A47278" w:rsidP="00226C35">
      <w:pPr>
        <w:rPr>
          <w:lang w:eastAsia="sv-SE"/>
        </w:rPr>
      </w:pPr>
    </w:p>
    <w:p w14:paraId="5AAB31E0" w14:textId="77777777" w:rsidR="004450F5" w:rsidRPr="00C22920" w:rsidRDefault="004450F5" w:rsidP="004450F5">
      <w:pPr>
        <w:pStyle w:val="Innehllsfrteckningsrubrik"/>
        <w:rPr>
          <w:rFonts w:cs="Arial"/>
          <w:sz w:val="22"/>
          <w:szCs w:val="22"/>
        </w:rPr>
      </w:pPr>
      <w:r w:rsidRPr="00C22920">
        <w:rPr>
          <w:rFonts w:cs="Arial"/>
          <w:sz w:val="22"/>
          <w:szCs w:val="22"/>
        </w:rPr>
        <w:t>Statistikområde</w:t>
      </w:r>
    </w:p>
    <w:p w14:paraId="74A53391" w14:textId="0C6E4C9B" w:rsidR="004450F5" w:rsidRDefault="00226C35" w:rsidP="004450F5">
      <w:pPr>
        <w:rPr>
          <w:lang w:eastAsia="sv-SE"/>
        </w:rPr>
      </w:pPr>
      <w:r>
        <w:rPr>
          <w:lang w:eastAsia="sv-SE"/>
        </w:rPr>
        <w:t>Jordbrukets ekonomi</w:t>
      </w:r>
    </w:p>
    <w:p w14:paraId="7E7D9DA3" w14:textId="77777777" w:rsidR="00A47278" w:rsidRPr="00226C35" w:rsidRDefault="00A47278" w:rsidP="004450F5">
      <w:pPr>
        <w:rPr>
          <w:lang w:eastAsia="sv-SE"/>
        </w:rPr>
      </w:pPr>
    </w:p>
    <w:p w14:paraId="00B82FAD" w14:textId="77777777" w:rsidR="0074142D" w:rsidRPr="00C22920" w:rsidRDefault="004450F5" w:rsidP="0074142D">
      <w:pPr>
        <w:pStyle w:val="Innehllsfrteckningsrubrik"/>
        <w:rPr>
          <w:rFonts w:cs="Arial"/>
          <w:sz w:val="22"/>
          <w:szCs w:val="22"/>
        </w:rPr>
      </w:pPr>
      <w:r w:rsidRPr="00C22920">
        <w:rPr>
          <w:rFonts w:cs="Arial"/>
          <w:sz w:val="22"/>
          <w:szCs w:val="22"/>
        </w:rPr>
        <w:t>Produktkod</w:t>
      </w:r>
    </w:p>
    <w:p w14:paraId="3509A5D6" w14:textId="017A954F" w:rsidR="004450F5" w:rsidRDefault="00226C35" w:rsidP="000F3B13">
      <w:pPr>
        <w:rPr>
          <w:lang w:eastAsia="sv-SE"/>
        </w:rPr>
      </w:pPr>
      <w:r>
        <w:rPr>
          <w:lang w:eastAsia="sv-SE"/>
        </w:rPr>
        <w:t>JO0202</w:t>
      </w:r>
    </w:p>
    <w:p w14:paraId="56BEA82D" w14:textId="77777777" w:rsidR="00A47278" w:rsidRPr="00226C35" w:rsidRDefault="00A47278" w:rsidP="000F3B13">
      <w:pPr>
        <w:rPr>
          <w:lang w:eastAsia="sv-SE"/>
        </w:rPr>
      </w:pPr>
    </w:p>
    <w:p w14:paraId="4E2BE01A" w14:textId="77777777" w:rsidR="007F58AE" w:rsidRPr="00C22920" w:rsidRDefault="007F58AE" w:rsidP="007F58AE">
      <w:pPr>
        <w:pStyle w:val="Innehllsfrteckningsrubrik"/>
        <w:rPr>
          <w:rFonts w:cs="Arial"/>
          <w:sz w:val="22"/>
          <w:szCs w:val="22"/>
        </w:rPr>
      </w:pPr>
      <w:r w:rsidRPr="00C22920">
        <w:rPr>
          <w:rFonts w:cs="Arial"/>
          <w:sz w:val="22"/>
          <w:szCs w:val="22"/>
        </w:rPr>
        <w:t>Referenstid</w:t>
      </w:r>
    </w:p>
    <w:p w14:paraId="15F02DC2" w14:textId="5EA5DC17" w:rsidR="00FC616D" w:rsidRDefault="00B35B52" w:rsidP="00A47278">
      <w:pPr>
        <w:rPr>
          <w:rFonts w:ascii="Arial" w:eastAsiaTheme="majorEastAsia" w:hAnsi="Arial" w:cstheme="majorBidi"/>
          <w:bCs/>
          <w:iCs/>
          <w:sz w:val="28"/>
          <w:szCs w:val="28"/>
          <w:lang w:bidi="en-US"/>
        </w:rPr>
      </w:pPr>
      <w:r>
        <w:rPr>
          <w:lang w:eastAsia="sv-SE"/>
        </w:rPr>
        <w:t>Räkenskapsår 1 januari</w:t>
      </w:r>
      <w:r w:rsidR="000F4CD4">
        <w:rPr>
          <w:lang w:eastAsia="sv-SE"/>
        </w:rPr>
        <w:t>–</w:t>
      </w:r>
      <w:r w:rsidR="00226C35">
        <w:rPr>
          <w:lang w:eastAsia="sv-SE"/>
        </w:rPr>
        <w:t xml:space="preserve">31 december </w:t>
      </w:r>
      <w:r w:rsidR="004A595C">
        <w:rPr>
          <w:lang w:eastAsia="sv-SE"/>
        </w:rPr>
        <w:t>201</w:t>
      </w:r>
      <w:r w:rsidR="001D6473">
        <w:rPr>
          <w:lang w:eastAsia="sv-SE"/>
        </w:rPr>
        <w:t>8</w:t>
      </w:r>
      <w:r w:rsidR="00226C35">
        <w:rPr>
          <w:lang w:eastAsia="sv-SE"/>
        </w:rPr>
        <w:t xml:space="preserve">, alternativt brutet räkenskapsår, senast </w:t>
      </w:r>
      <w:r>
        <w:rPr>
          <w:lang w:eastAsia="sv-SE"/>
        </w:rPr>
        <w:t xml:space="preserve">1 juli </w:t>
      </w:r>
      <w:r w:rsidR="004A595C">
        <w:rPr>
          <w:lang w:eastAsia="sv-SE"/>
        </w:rPr>
        <w:t>201</w:t>
      </w:r>
      <w:r w:rsidR="001D6473">
        <w:rPr>
          <w:lang w:eastAsia="sv-SE"/>
        </w:rPr>
        <w:t>8</w:t>
      </w:r>
      <w:r w:rsidR="000F4CD4">
        <w:rPr>
          <w:lang w:eastAsia="sv-SE"/>
        </w:rPr>
        <w:t>–</w:t>
      </w:r>
      <w:r w:rsidR="004A595C">
        <w:rPr>
          <w:lang w:eastAsia="sv-SE"/>
        </w:rPr>
        <w:t>30 juni 201</w:t>
      </w:r>
      <w:bookmarkStart w:id="11" w:name="_Toc350128446"/>
      <w:bookmarkStart w:id="12" w:name="_Toc323044831"/>
      <w:bookmarkStart w:id="13" w:name="_Toc389028314"/>
      <w:bookmarkStart w:id="14" w:name="_Toc423431707"/>
      <w:r w:rsidR="00126FBF">
        <w:rPr>
          <w:noProof/>
          <w:lang w:eastAsia="sv-SE"/>
        </w:rPr>
        <w:drawing>
          <wp:anchor distT="0" distB="0" distL="114300" distR="114300" simplePos="0" relativeHeight="251658240" behindDoc="0" locked="1" layoutInCell="1" allowOverlap="0" wp14:anchorId="4A16A1CC" wp14:editId="6149E07B">
            <wp:simplePos x="0" y="0"/>
            <wp:positionH relativeFrom="column">
              <wp:posOffset>0</wp:posOffset>
            </wp:positionH>
            <wp:positionV relativeFrom="page">
              <wp:posOffset>9037320</wp:posOffset>
            </wp:positionV>
            <wp:extent cx="2062800" cy="3060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2800" cy="306000"/>
                    </a:xfrm>
                    <a:prstGeom prst="rect">
                      <a:avLst/>
                    </a:prstGeom>
                  </pic:spPr>
                </pic:pic>
              </a:graphicData>
            </a:graphic>
            <wp14:sizeRelH relativeFrom="page">
              <wp14:pctWidth>0</wp14:pctWidth>
            </wp14:sizeRelH>
            <wp14:sizeRelV relativeFrom="page">
              <wp14:pctHeight>0</wp14:pctHeight>
            </wp14:sizeRelV>
          </wp:anchor>
        </w:drawing>
      </w:r>
      <w:r w:rsidR="001D6473">
        <w:rPr>
          <w:lang w:eastAsia="sv-SE"/>
        </w:rPr>
        <w:t>9</w:t>
      </w:r>
      <w:r w:rsidR="00FC616D">
        <w:rPr>
          <w:rFonts w:ascii="Arial" w:eastAsiaTheme="majorEastAsia" w:hAnsi="Arial" w:cstheme="majorBidi"/>
          <w:b/>
          <w:bCs/>
          <w:iCs/>
          <w:sz w:val="28"/>
          <w:szCs w:val="28"/>
          <w:lang w:bidi="en-US"/>
        </w:rPr>
        <w:br w:type="page"/>
      </w:r>
    </w:p>
    <w:bookmarkEnd w:id="11"/>
    <w:bookmarkEnd w:id="12"/>
    <w:bookmarkEnd w:id="13"/>
    <w:bookmarkEnd w:id="14"/>
    <w:p w14:paraId="3A182ACB" w14:textId="77777777" w:rsidR="00582C96" w:rsidRDefault="00582C96" w:rsidP="0026623A"/>
    <w:p w14:paraId="6BDF0754" w14:textId="0B1B68F9" w:rsidR="00BF155C" w:rsidRDefault="00DB3B2F">
      <w:pPr>
        <w:pStyle w:val="Innehll1"/>
        <w:tabs>
          <w:tab w:val="right" w:leader="dot" w:pos="7643"/>
        </w:tabs>
        <w:rPr>
          <w:rFonts w:asciiTheme="minorHAnsi" w:eastAsiaTheme="minorEastAsia" w:hAnsiTheme="minorHAnsi"/>
          <w:b w:val="0"/>
          <w:bCs w:val="0"/>
          <w:noProof/>
          <w:sz w:val="22"/>
          <w:szCs w:val="22"/>
          <w:lang w:eastAsia="sv-SE"/>
        </w:rPr>
      </w:pPr>
      <w:r>
        <w:fldChar w:fldCharType="begin"/>
      </w:r>
      <w:r>
        <w:instrText xml:space="preserve"> TOC \h \z \t "Rubrik 1;2;Rubrik 2;3;Rubrik 3;4;Rubrik 4;4;Rubrik;1" </w:instrText>
      </w:r>
      <w:r>
        <w:fldChar w:fldCharType="separate"/>
      </w:r>
      <w:hyperlink w:anchor="_Toc2001565" w:history="1">
        <w:r w:rsidR="00BF155C" w:rsidRPr="00E92067">
          <w:rPr>
            <w:rStyle w:val="Hyperlnk"/>
            <w:rFonts w:cs="Arial"/>
            <w:noProof/>
          </w:rPr>
          <w:t>Statistikens kvalitet</w:t>
        </w:r>
        <w:r w:rsidR="00BF155C">
          <w:rPr>
            <w:noProof/>
            <w:webHidden/>
          </w:rPr>
          <w:tab/>
        </w:r>
        <w:r w:rsidR="00BF155C">
          <w:rPr>
            <w:noProof/>
            <w:webHidden/>
          </w:rPr>
          <w:fldChar w:fldCharType="begin"/>
        </w:r>
        <w:r w:rsidR="00BF155C">
          <w:rPr>
            <w:noProof/>
            <w:webHidden/>
          </w:rPr>
          <w:instrText xml:space="preserve"> PAGEREF _Toc2001565 \h </w:instrText>
        </w:r>
        <w:r w:rsidR="00BF155C">
          <w:rPr>
            <w:noProof/>
            <w:webHidden/>
          </w:rPr>
        </w:r>
        <w:r w:rsidR="00BF155C">
          <w:rPr>
            <w:noProof/>
            <w:webHidden/>
          </w:rPr>
          <w:fldChar w:fldCharType="separate"/>
        </w:r>
        <w:r w:rsidR="00CB2FFE">
          <w:rPr>
            <w:noProof/>
            <w:webHidden/>
          </w:rPr>
          <w:t>3</w:t>
        </w:r>
        <w:r w:rsidR="00BF155C">
          <w:rPr>
            <w:noProof/>
            <w:webHidden/>
          </w:rPr>
          <w:fldChar w:fldCharType="end"/>
        </w:r>
      </w:hyperlink>
    </w:p>
    <w:p w14:paraId="662921B7" w14:textId="0E151D5C" w:rsidR="00BF155C" w:rsidRDefault="0086368F">
      <w:pPr>
        <w:pStyle w:val="Innehll2"/>
        <w:rPr>
          <w:rFonts w:asciiTheme="minorHAnsi" w:eastAsiaTheme="minorEastAsia" w:hAnsiTheme="minorHAnsi"/>
          <w:sz w:val="22"/>
          <w:szCs w:val="22"/>
          <w:lang w:eastAsia="sv-SE"/>
        </w:rPr>
      </w:pPr>
      <w:hyperlink w:anchor="_Toc2001566" w:history="1">
        <w:r w:rsidR="00BF155C" w:rsidRPr="00E92067">
          <w:rPr>
            <w:rStyle w:val="Hyperlnk"/>
          </w:rPr>
          <w:t>1</w:t>
        </w:r>
        <w:r w:rsidR="00BF155C">
          <w:rPr>
            <w:rFonts w:asciiTheme="minorHAnsi" w:eastAsiaTheme="minorEastAsia" w:hAnsiTheme="minorHAnsi"/>
            <w:sz w:val="22"/>
            <w:szCs w:val="22"/>
            <w:lang w:eastAsia="sv-SE"/>
          </w:rPr>
          <w:tab/>
        </w:r>
        <w:r w:rsidR="00BF155C" w:rsidRPr="00E92067">
          <w:rPr>
            <w:rStyle w:val="Hyperlnk"/>
          </w:rPr>
          <w:t>Relevans</w:t>
        </w:r>
        <w:r w:rsidR="00BF155C">
          <w:rPr>
            <w:webHidden/>
          </w:rPr>
          <w:tab/>
        </w:r>
        <w:r w:rsidR="00BF155C">
          <w:rPr>
            <w:webHidden/>
          </w:rPr>
          <w:fldChar w:fldCharType="begin"/>
        </w:r>
        <w:r w:rsidR="00BF155C">
          <w:rPr>
            <w:webHidden/>
          </w:rPr>
          <w:instrText xml:space="preserve"> PAGEREF _Toc2001566 \h </w:instrText>
        </w:r>
        <w:r w:rsidR="00BF155C">
          <w:rPr>
            <w:webHidden/>
          </w:rPr>
        </w:r>
        <w:r w:rsidR="00BF155C">
          <w:rPr>
            <w:webHidden/>
          </w:rPr>
          <w:fldChar w:fldCharType="separate"/>
        </w:r>
        <w:r w:rsidR="00CB2FFE">
          <w:rPr>
            <w:webHidden/>
          </w:rPr>
          <w:t>3</w:t>
        </w:r>
        <w:r w:rsidR="00BF155C">
          <w:rPr>
            <w:webHidden/>
          </w:rPr>
          <w:fldChar w:fldCharType="end"/>
        </w:r>
      </w:hyperlink>
    </w:p>
    <w:p w14:paraId="52FF6197" w14:textId="134EAD56"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67" w:history="1">
        <w:r w:rsidR="00BF155C" w:rsidRPr="00E92067">
          <w:rPr>
            <w:rStyle w:val="Hyperlnk"/>
            <w:noProof/>
          </w:rPr>
          <w:t>1.1</w:t>
        </w:r>
        <w:r w:rsidR="00BF155C">
          <w:rPr>
            <w:rFonts w:asciiTheme="minorHAnsi" w:eastAsiaTheme="minorEastAsia" w:hAnsiTheme="minorHAnsi"/>
            <w:iCs w:val="0"/>
            <w:noProof/>
            <w:sz w:val="22"/>
            <w:szCs w:val="22"/>
            <w:lang w:eastAsia="sv-SE"/>
          </w:rPr>
          <w:tab/>
        </w:r>
        <w:r w:rsidR="00BF155C" w:rsidRPr="00E92067">
          <w:rPr>
            <w:rStyle w:val="Hyperlnk"/>
            <w:noProof/>
          </w:rPr>
          <w:t>Ändamål och informationsbehov</w:t>
        </w:r>
        <w:r w:rsidR="00BF155C">
          <w:rPr>
            <w:noProof/>
            <w:webHidden/>
          </w:rPr>
          <w:tab/>
        </w:r>
        <w:r w:rsidR="00BF155C">
          <w:rPr>
            <w:noProof/>
            <w:webHidden/>
          </w:rPr>
          <w:fldChar w:fldCharType="begin"/>
        </w:r>
        <w:r w:rsidR="00BF155C">
          <w:rPr>
            <w:noProof/>
            <w:webHidden/>
          </w:rPr>
          <w:instrText xml:space="preserve"> PAGEREF _Toc2001567 \h </w:instrText>
        </w:r>
        <w:r w:rsidR="00BF155C">
          <w:rPr>
            <w:noProof/>
            <w:webHidden/>
          </w:rPr>
        </w:r>
        <w:r w:rsidR="00BF155C">
          <w:rPr>
            <w:noProof/>
            <w:webHidden/>
          </w:rPr>
          <w:fldChar w:fldCharType="separate"/>
        </w:r>
        <w:r w:rsidR="00CB2FFE">
          <w:rPr>
            <w:noProof/>
            <w:webHidden/>
          </w:rPr>
          <w:t>3</w:t>
        </w:r>
        <w:r w:rsidR="00BF155C">
          <w:rPr>
            <w:noProof/>
            <w:webHidden/>
          </w:rPr>
          <w:fldChar w:fldCharType="end"/>
        </w:r>
      </w:hyperlink>
    </w:p>
    <w:p w14:paraId="2A4FBE37" w14:textId="085C3BB0"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68" w:history="1">
        <w:r w:rsidR="00BF155C" w:rsidRPr="00E92067">
          <w:rPr>
            <w:rStyle w:val="Hyperlnk"/>
            <w:noProof/>
          </w:rPr>
          <w:t>1.1.1</w:t>
        </w:r>
        <w:r w:rsidR="00BF155C">
          <w:rPr>
            <w:rFonts w:asciiTheme="minorHAnsi" w:eastAsiaTheme="minorEastAsia" w:hAnsiTheme="minorHAnsi"/>
            <w:noProof/>
            <w:sz w:val="22"/>
            <w:szCs w:val="22"/>
            <w:lang w:eastAsia="sv-SE"/>
          </w:rPr>
          <w:tab/>
        </w:r>
        <w:r w:rsidR="00BF155C" w:rsidRPr="00E92067">
          <w:rPr>
            <w:rStyle w:val="Hyperlnk"/>
            <w:noProof/>
          </w:rPr>
          <w:t>Statistikens ändamål</w:t>
        </w:r>
        <w:r w:rsidR="00BF155C">
          <w:rPr>
            <w:noProof/>
            <w:webHidden/>
          </w:rPr>
          <w:tab/>
        </w:r>
        <w:r w:rsidR="00BF155C">
          <w:rPr>
            <w:noProof/>
            <w:webHidden/>
          </w:rPr>
          <w:fldChar w:fldCharType="begin"/>
        </w:r>
        <w:r w:rsidR="00BF155C">
          <w:rPr>
            <w:noProof/>
            <w:webHidden/>
          </w:rPr>
          <w:instrText xml:space="preserve"> PAGEREF _Toc2001568 \h </w:instrText>
        </w:r>
        <w:r w:rsidR="00BF155C">
          <w:rPr>
            <w:noProof/>
            <w:webHidden/>
          </w:rPr>
        </w:r>
        <w:r w:rsidR="00BF155C">
          <w:rPr>
            <w:noProof/>
            <w:webHidden/>
          </w:rPr>
          <w:fldChar w:fldCharType="separate"/>
        </w:r>
        <w:r w:rsidR="00CB2FFE">
          <w:rPr>
            <w:noProof/>
            <w:webHidden/>
          </w:rPr>
          <w:t>3</w:t>
        </w:r>
        <w:r w:rsidR="00BF155C">
          <w:rPr>
            <w:noProof/>
            <w:webHidden/>
          </w:rPr>
          <w:fldChar w:fldCharType="end"/>
        </w:r>
      </w:hyperlink>
    </w:p>
    <w:p w14:paraId="50410E15" w14:textId="3EAB5BB1"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69" w:history="1">
        <w:r w:rsidR="00BF155C" w:rsidRPr="00E92067">
          <w:rPr>
            <w:rStyle w:val="Hyperlnk"/>
            <w:noProof/>
          </w:rPr>
          <w:t>1.1.2</w:t>
        </w:r>
        <w:r w:rsidR="00BF155C">
          <w:rPr>
            <w:rFonts w:asciiTheme="minorHAnsi" w:eastAsiaTheme="minorEastAsia" w:hAnsiTheme="minorHAnsi"/>
            <w:noProof/>
            <w:sz w:val="22"/>
            <w:szCs w:val="22"/>
            <w:lang w:eastAsia="sv-SE"/>
          </w:rPr>
          <w:tab/>
        </w:r>
        <w:r w:rsidR="00BF155C" w:rsidRPr="00E92067">
          <w:rPr>
            <w:rStyle w:val="Hyperlnk"/>
            <w:noProof/>
          </w:rPr>
          <w:t>Statistikanvändares informationsbehov</w:t>
        </w:r>
        <w:r w:rsidR="00BF155C">
          <w:rPr>
            <w:noProof/>
            <w:webHidden/>
          </w:rPr>
          <w:tab/>
        </w:r>
        <w:r w:rsidR="00BF155C">
          <w:rPr>
            <w:noProof/>
            <w:webHidden/>
          </w:rPr>
          <w:fldChar w:fldCharType="begin"/>
        </w:r>
        <w:r w:rsidR="00BF155C">
          <w:rPr>
            <w:noProof/>
            <w:webHidden/>
          </w:rPr>
          <w:instrText xml:space="preserve"> PAGEREF _Toc2001569 \h </w:instrText>
        </w:r>
        <w:r w:rsidR="00BF155C">
          <w:rPr>
            <w:noProof/>
            <w:webHidden/>
          </w:rPr>
        </w:r>
        <w:r w:rsidR="00BF155C">
          <w:rPr>
            <w:noProof/>
            <w:webHidden/>
          </w:rPr>
          <w:fldChar w:fldCharType="separate"/>
        </w:r>
        <w:r w:rsidR="00CB2FFE">
          <w:rPr>
            <w:noProof/>
            <w:webHidden/>
          </w:rPr>
          <w:t>3</w:t>
        </w:r>
        <w:r w:rsidR="00BF155C">
          <w:rPr>
            <w:noProof/>
            <w:webHidden/>
          </w:rPr>
          <w:fldChar w:fldCharType="end"/>
        </w:r>
      </w:hyperlink>
    </w:p>
    <w:p w14:paraId="6AC62E1E" w14:textId="2AB73EF2"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70" w:history="1">
        <w:r w:rsidR="00BF155C" w:rsidRPr="00E92067">
          <w:rPr>
            <w:rStyle w:val="Hyperlnk"/>
            <w:noProof/>
          </w:rPr>
          <w:t>1.2</w:t>
        </w:r>
        <w:r w:rsidR="00BF155C">
          <w:rPr>
            <w:rFonts w:asciiTheme="minorHAnsi" w:eastAsiaTheme="minorEastAsia" w:hAnsiTheme="minorHAnsi"/>
            <w:iCs w:val="0"/>
            <w:noProof/>
            <w:sz w:val="22"/>
            <w:szCs w:val="22"/>
            <w:lang w:eastAsia="sv-SE"/>
          </w:rPr>
          <w:tab/>
        </w:r>
        <w:r w:rsidR="00BF155C" w:rsidRPr="00E92067">
          <w:rPr>
            <w:rStyle w:val="Hyperlnk"/>
            <w:noProof/>
          </w:rPr>
          <w:t>Statistikens innehåll</w:t>
        </w:r>
        <w:r w:rsidR="00BF155C">
          <w:rPr>
            <w:noProof/>
            <w:webHidden/>
          </w:rPr>
          <w:tab/>
        </w:r>
        <w:r w:rsidR="00BF155C">
          <w:rPr>
            <w:noProof/>
            <w:webHidden/>
          </w:rPr>
          <w:fldChar w:fldCharType="begin"/>
        </w:r>
        <w:r w:rsidR="00BF155C">
          <w:rPr>
            <w:noProof/>
            <w:webHidden/>
          </w:rPr>
          <w:instrText xml:space="preserve"> PAGEREF _Toc2001570 \h </w:instrText>
        </w:r>
        <w:r w:rsidR="00BF155C">
          <w:rPr>
            <w:noProof/>
            <w:webHidden/>
          </w:rPr>
        </w:r>
        <w:r w:rsidR="00BF155C">
          <w:rPr>
            <w:noProof/>
            <w:webHidden/>
          </w:rPr>
          <w:fldChar w:fldCharType="separate"/>
        </w:r>
        <w:r w:rsidR="00CB2FFE">
          <w:rPr>
            <w:noProof/>
            <w:webHidden/>
          </w:rPr>
          <w:t>3</w:t>
        </w:r>
        <w:r w:rsidR="00BF155C">
          <w:rPr>
            <w:noProof/>
            <w:webHidden/>
          </w:rPr>
          <w:fldChar w:fldCharType="end"/>
        </w:r>
      </w:hyperlink>
    </w:p>
    <w:p w14:paraId="4FE423B7" w14:textId="62D9556C"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71" w:history="1">
        <w:r w:rsidR="00BF155C" w:rsidRPr="00E92067">
          <w:rPr>
            <w:rStyle w:val="Hyperlnk"/>
            <w:noProof/>
          </w:rPr>
          <w:t>1.2.1</w:t>
        </w:r>
        <w:r w:rsidR="00BF155C">
          <w:rPr>
            <w:rFonts w:asciiTheme="minorHAnsi" w:eastAsiaTheme="minorEastAsia" w:hAnsiTheme="minorHAnsi"/>
            <w:noProof/>
            <w:sz w:val="22"/>
            <w:szCs w:val="22"/>
            <w:lang w:eastAsia="sv-SE"/>
          </w:rPr>
          <w:tab/>
        </w:r>
        <w:r w:rsidR="00BF155C" w:rsidRPr="00E92067">
          <w:rPr>
            <w:rStyle w:val="Hyperlnk"/>
            <w:noProof/>
          </w:rPr>
          <w:t>Objekt och population</w:t>
        </w:r>
        <w:r w:rsidR="00BF155C">
          <w:rPr>
            <w:noProof/>
            <w:webHidden/>
          </w:rPr>
          <w:tab/>
        </w:r>
        <w:r w:rsidR="00BF155C">
          <w:rPr>
            <w:noProof/>
            <w:webHidden/>
          </w:rPr>
          <w:fldChar w:fldCharType="begin"/>
        </w:r>
        <w:r w:rsidR="00BF155C">
          <w:rPr>
            <w:noProof/>
            <w:webHidden/>
          </w:rPr>
          <w:instrText xml:space="preserve"> PAGEREF _Toc2001571 \h </w:instrText>
        </w:r>
        <w:r w:rsidR="00BF155C">
          <w:rPr>
            <w:noProof/>
            <w:webHidden/>
          </w:rPr>
        </w:r>
        <w:r w:rsidR="00BF155C">
          <w:rPr>
            <w:noProof/>
            <w:webHidden/>
          </w:rPr>
          <w:fldChar w:fldCharType="separate"/>
        </w:r>
        <w:r w:rsidR="00CB2FFE">
          <w:rPr>
            <w:noProof/>
            <w:webHidden/>
          </w:rPr>
          <w:t>3</w:t>
        </w:r>
        <w:r w:rsidR="00BF155C">
          <w:rPr>
            <w:noProof/>
            <w:webHidden/>
          </w:rPr>
          <w:fldChar w:fldCharType="end"/>
        </w:r>
      </w:hyperlink>
    </w:p>
    <w:p w14:paraId="7E3B1631" w14:textId="25B9A4D7"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72" w:history="1">
        <w:r w:rsidR="00BF155C" w:rsidRPr="00E92067">
          <w:rPr>
            <w:rStyle w:val="Hyperlnk"/>
            <w:noProof/>
          </w:rPr>
          <w:t>1.2.2</w:t>
        </w:r>
        <w:r w:rsidR="00BF155C">
          <w:rPr>
            <w:rFonts w:asciiTheme="minorHAnsi" w:eastAsiaTheme="minorEastAsia" w:hAnsiTheme="minorHAnsi"/>
            <w:noProof/>
            <w:sz w:val="22"/>
            <w:szCs w:val="22"/>
            <w:lang w:eastAsia="sv-SE"/>
          </w:rPr>
          <w:tab/>
        </w:r>
        <w:r w:rsidR="00BF155C" w:rsidRPr="00E92067">
          <w:rPr>
            <w:rStyle w:val="Hyperlnk"/>
            <w:noProof/>
          </w:rPr>
          <w:t>Variabler</w:t>
        </w:r>
        <w:r w:rsidR="00BF155C">
          <w:rPr>
            <w:noProof/>
            <w:webHidden/>
          </w:rPr>
          <w:tab/>
        </w:r>
        <w:r w:rsidR="00BF155C">
          <w:rPr>
            <w:noProof/>
            <w:webHidden/>
          </w:rPr>
          <w:fldChar w:fldCharType="begin"/>
        </w:r>
        <w:r w:rsidR="00BF155C">
          <w:rPr>
            <w:noProof/>
            <w:webHidden/>
          </w:rPr>
          <w:instrText xml:space="preserve"> PAGEREF _Toc2001572 \h </w:instrText>
        </w:r>
        <w:r w:rsidR="00BF155C">
          <w:rPr>
            <w:noProof/>
            <w:webHidden/>
          </w:rPr>
        </w:r>
        <w:r w:rsidR="00BF155C">
          <w:rPr>
            <w:noProof/>
            <w:webHidden/>
          </w:rPr>
          <w:fldChar w:fldCharType="separate"/>
        </w:r>
        <w:r w:rsidR="00CB2FFE">
          <w:rPr>
            <w:noProof/>
            <w:webHidden/>
          </w:rPr>
          <w:t>4</w:t>
        </w:r>
        <w:r w:rsidR="00BF155C">
          <w:rPr>
            <w:noProof/>
            <w:webHidden/>
          </w:rPr>
          <w:fldChar w:fldCharType="end"/>
        </w:r>
      </w:hyperlink>
    </w:p>
    <w:p w14:paraId="3BCF5986" w14:textId="5DAFACFB"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73" w:history="1">
        <w:r w:rsidR="00BF155C" w:rsidRPr="00E92067">
          <w:rPr>
            <w:rStyle w:val="Hyperlnk"/>
            <w:noProof/>
          </w:rPr>
          <w:t>1.2.3</w:t>
        </w:r>
        <w:r w:rsidR="00BF155C">
          <w:rPr>
            <w:rFonts w:asciiTheme="minorHAnsi" w:eastAsiaTheme="minorEastAsia" w:hAnsiTheme="minorHAnsi"/>
            <w:noProof/>
            <w:sz w:val="22"/>
            <w:szCs w:val="22"/>
            <w:lang w:eastAsia="sv-SE"/>
          </w:rPr>
          <w:tab/>
        </w:r>
        <w:r w:rsidR="00BF155C" w:rsidRPr="00E92067">
          <w:rPr>
            <w:rStyle w:val="Hyperlnk"/>
            <w:noProof/>
          </w:rPr>
          <w:t>Statistiska mått</w:t>
        </w:r>
        <w:r w:rsidR="00BF155C">
          <w:rPr>
            <w:noProof/>
            <w:webHidden/>
          </w:rPr>
          <w:tab/>
        </w:r>
        <w:r w:rsidR="00BF155C">
          <w:rPr>
            <w:noProof/>
            <w:webHidden/>
          </w:rPr>
          <w:fldChar w:fldCharType="begin"/>
        </w:r>
        <w:r w:rsidR="00BF155C">
          <w:rPr>
            <w:noProof/>
            <w:webHidden/>
          </w:rPr>
          <w:instrText xml:space="preserve"> PAGEREF _Toc2001573 \h </w:instrText>
        </w:r>
        <w:r w:rsidR="00BF155C">
          <w:rPr>
            <w:noProof/>
            <w:webHidden/>
          </w:rPr>
        </w:r>
        <w:r w:rsidR="00BF155C">
          <w:rPr>
            <w:noProof/>
            <w:webHidden/>
          </w:rPr>
          <w:fldChar w:fldCharType="separate"/>
        </w:r>
        <w:r w:rsidR="00CB2FFE">
          <w:rPr>
            <w:noProof/>
            <w:webHidden/>
          </w:rPr>
          <w:t>6</w:t>
        </w:r>
        <w:r w:rsidR="00BF155C">
          <w:rPr>
            <w:noProof/>
            <w:webHidden/>
          </w:rPr>
          <w:fldChar w:fldCharType="end"/>
        </w:r>
      </w:hyperlink>
    </w:p>
    <w:p w14:paraId="1CAA501C" w14:textId="6707DD19"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74" w:history="1">
        <w:r w:rsidR="00BF155C" w:rsidRPr="00E92067">
          <w:rPr>
            <w:rStyle w:val="Hyperlnk"/>
            <w:noProof/>
          </w:rPr>
          <w:t>1.2.4</w:t>
        </w:r>
        <w:r w:rsidR="00BF155C">
          <w:rPr>
            <w:rFonts w:asciiTheme="minorHAnsi" w:eastAsiaTheme="minorEastAsia" w:hAnsiTheme="minorHAnsi"/>
            <w:noProof/>
            <w:sz w:val="22"/>
            <w:szCs w:val="22"/>
            <w:lang w:eastAsia="sv-SE"/>
          </w:rPr>
          <w:tab/>
        </w:r>
        <w:r w:rsidR="00BF155C" w:rsidRPr="00E92067">
          <w:rPr>
            <w:rStyle w:val="Hyperlnk"/>
            <w:noProof/>
          </w:rPr>
          <w:t>Redovisningsgrupper</w:t>
        </w:r>
        <w:r w:rsidR="00BF155C">
          <w:rPr>
            <w:noProof/>
            <w:webHidden/>
          </w:rPr>
          <w:tab/>
        </w:r>
        <w:r w:rsidR="00BF155C">
          <w:rPr>
            <w:noProof/>
            <w:webHidden/>
          </w:rPr>
          <w:fldChar w:fldCharType="begin"/>
        </w:r>
        <w:r w:rsidR="00BF155C">
          <w:rPr>
            <w:noProof/>
            <w:webHidden/>
          </w:rPr>
          <w:instrText xml:space="preserve"> PAGEREF _Toc2001574 \h </w:instrText>
        </w:r>
        <w:r w:rsidR="00BF155C">
          <w:rPr>
            <w:noProof/>
            <w:webHidden/>
          </w:rPr>
        </w:r>
        <w:r w:rsidR="00BF155C">
          <w:rPr>
            <w:noProof/>
            <w:webHidden/>
          </w:rPr>
          <w:fldChar w:fldCharType="separate"/>
        </w:r>
        <w:r w:rsidR="00CB2FFE">
          <w:rPr>
            <w:noProof/>
            <w:webHidden/>
          </w:rPr>
          <w:t>7</w:t>
        </w:r>
        <w:r w:rsidR="00BF155C">
          <w:rPr>
            <w:noProof/>
            <w:webHidden/>
          </w:rPr>
          <w:fldChar w:fldCharType="end"/>
        </w:r>
      </w:hyperlink>
    </w:p>
    <w:p w14:paraId="4CD00143" w14:textId="6AA512A3"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75" w:history="1">
        <w:r w:rsidR="00BF155C" w:rsidRPr="00E92067">
          <w:rPr>
            <w:rStyle w:val="Hyperlnk"/>
            <w:noProof/>
          </w:rPr>
          <w:t>1.2.5</w:t>
        </w:r>
        <w:r w:rsidR="00BF155C">
          <w:rPr>
            <w:rFonts w:asciiTheme="minorHAnsi" w:eastAsiaTheme="minorEastAsia" w:hAnsiTheme="minorHAnsi"/>
            <w:noProof/>
            <w:sz w:val="22"/>
            <w:szCs w:val="22"/>
            <w:lang w:eastAsia="sv-SE"/>
          </w:rPr>
          <w:tab/>
        </w:r>
        <w:r w:rsidR="00BF155C" w:rsidRPr="00E92067">
          <w:rPr>
            <w:rStyle w:val="Hyperlnk"/>
            <w:noProof/>
          </w:rPr>
          <w:t>Referenstider</w:t>
        </w:r>
        <w:r w:rsidR="00BF155C">
          <w:rPr>
            <w:noProof/>
            <w:webHidden/>
          </w:rPr>
          <w:tab/>
        </w:r>
        <w:r w:rsidR="00BF155C">
          <w:rPr>
            <w:noProof/>
            <w:webHidden/>
          </w:rPr>
          <w:fldChar w:fldCharType="begin"/>
        </w:r>
        <w:r w:rsidR="00BF155C">
          <w:rPr>
            <w:noProof/>
            <w:webHidden/>
          </w:rPr>
          <w:instrText xml:space="preserve"> PAGEREF _Toc2001575 \h </w:instrText>
        </w:r>
        <w:r w:rsidR="00BF155C">
          <w:rPr>
            <w:noProof/>
            <w:webHidden/>
          </w:rPr>
        </w:r>
        <w:r w:rsidR="00BF155C">
          <w:rPr>
            <w:noProof/>
            <w:webHidden/>
          </w:rPr>
          <w:fldChar w:fldCharType="separate"/>
        </w:r>
        <w:r w:rsidR="00CB2FFE">
          <w:rPr>
            <w:noProof/>
            <w:webHidden/>
          </w:rPr>
          <w:t>8</w:t>
        </w:r>
        <w:r w:rsidR="00BF155C">
          <w:rPr>
            <w:noProof/>
            <w:webHidden/>
          </w:rPr>
          <w:fldChar w:fldCharType="end"/>
        </w:r>
      </w:hyperlink>
    </w:p>
    <w:p w14:paraId="62CD3EEE" w14:textId="41DEE34F" w:rsidR="00BF155C" w:rsidRDefault="0086368F">
      <w:pPr>
        <w:pStyle w:val="Innehll2"/>
        <w:rPr>
          <w:rFonts w:asciiTheme="minorHAnsi" w:eastAsiaTheme="minorEastAsia" w:hAnsiTheme="minorHAnsi"/>
          <w:sz w:val="22"/>
          <w:szCs w:val="22"/>
          <w:lang w:eastAsia="sv-SE"/>
        </w:rPr>
      </w:pPr>
      <w:hyperlink w:anchor="_Toc2001576" w:history="1">
        <w:r w:rsidR="00BF155C" w:rsidRPr="00E92067">
          <w:rPr>
            <w:rStyle w:val="Hyperlnk"/>
          </w:rPr>
          <w:t>2</w:t>
        </w:r>
        <w:r w:rsidR="00BF155C">
          <w:rPr>
            <w:rFonts w:asciiTheme="minorHAnsi" w:eastAsiaTheme="minorEastAsia" w:hAnsiTheme="minorHAnsi"/>
            <w:sz w:val="22"/>
            <w:szCs w:val="22"/>
            <w:lang w:eastAsia="sv-SE"/>
          </w:rPr>
          <w:tab/>
        </w:r>
        <w:r w:rsidR="00BF155C" w:rsidRPr="00E92067">
          <w:rPr>
            <w:rStyle w:val="Hyperlnk"/>
          </w:rPr>
          <w:t>Tillförlitlighet</w:t>
        </w:r>
        <w:r w:rsidR="00BF155C">
          <w:rPr>
            <w:webHidden/>
          </w:rPr>
          <w:tab/>
        </w:r>
        <w:r w:rsidR="00BF155C">
          <w:rPr>
            <w:webHidden/>
          </w:rPr>
          <w:fldChar w:fldCharType="begin"/>
        </w:r>
        <w:r w:rsidR="00BF155C">
          <w:rPr>
            <w:webHidden/>
          </w:rPr>
          <w:instrText xml:space="preserve"> PAGEREF _Toc2001576 \h </w:instrText>
        </w:r>
        <w:r w:rsidR="00BF155C">
          <w:rPr>
            <w:webHidden/>
          </w:rPr>
        </w:r>
        <w:r w:rsidR="00BF155C">
          <w:rPr>
            <w:webHidden/>
          </w:rPr>
          <w:fldChar w:fldCharType="separate"/>
        </w:r>
        <w:r w:rsidR="00CB2FFE">
          <w:rPr>
            <w:webHidden/>
          </w:rPr>
          <w:t>8</w:t>
        </w:r>
        <w:r w:rsidR="00BF155C">
          <w:rPr>
            <w:webHidden/>
          </w:rPr>
          <w:fldChar w:fldCharType="end"/>
        </w:r>
      </w:hyperlink>
    </w:p>
    <w:p w14:paraId="76F41742" w14:textId="66E6E0A8"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77" w:history="1">
        <w:r w:rsidR="00BF155C" w:rsidRPr="00E92067">
          <w:rPr>
            <w:rStyle w:val="Hyperlnk"/>
            <w:noProof/>
          </w:rPr>
          <w:t>2.1</w:t>
        </w:r>
        <w:r w:rsidR="00BF155C">
          <w:rPr>
            <w:rFonts w:asciiTheme="minorHAnsi" w:eastAsiaTheme="minorEastAsia" w:hAnsiTheme="minorHAnsi"/>
            <w:iCs w:val="0"/>
            <w:noProof/>
            <w:sz w:val="22"/>
            <w:szCs w:val="22"/>
            <w:lang w:eastAsia="sv-SE"/>
          </w:rPr>
          <w:tab/>
        </w:r>
        <w:r w:rsidR="00BF155C" w:rsidRPr="00E92067">
          <w:rPr>
            <w:rStyle w:val="Hyperlnk"/>
            <w:noProof/>
          </w:rPr>
          <w:t>Tillförlitlighet totalt</w:t>
        </w:r>
        <w:r w:rsidR="00BF155C">
          <w:rPr>
            <w:noProof/>
            <w:webHidden/>
          </w:rPr>
          <w:tab/>
        </w:r>
        <w:r w:rsidR="00BF155C">
          <w:rPr>
            <w:noProof/>
            <w:webHidden/>
          </w:rPr>
          <w:fldChar w:fldCharType="begin"/>
        </w:r>
        <w:r w:rsidR="00BF155C">
          <w:rPr>
            <w:noProof/>
            <w:webHidden/>
          </w:rPr>
          <w:instrText xml:space="preserve"> PAGEREF _Toc2001577 \h </w:instrText>
        </w:r>
        <w:r w:rsidR="00BF155C">
          <w:rPr>
            <w:noProof/>
            <w:webHidden/>
          </w:rPr>
        </w:r>
        <w:r w:rsidR="00BF155C">
          <w:rPr>
            <w:noProof/>
            <w:webHidden/>
          </w:rPr>
          <w:fldChar w:fldCharType="separate"/>
        </w:r>
        <w:r w:rsidR="00CB2FFE">
          <w:rPr>
            <w:noProof/>
            <w:webHidden/>
          </w:rPr>
          <w:t>8</w:t>
        </w:r>
        <w:r w:rsidR="00BF155C">
          <w:rPr>
            <w:noProof/>
            <w:webHidden/>
          </w:rPr>
          <w:fldChar w:fldCharType="end"/>
        </w:r>
      </w:hyperlink>
    </w:p>
    <w:p w14:paraId="0D2D4746" w14:textId="3E22681D"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78" w:history="1">
        <w:r w:rsidR="00BF155C" w:rsidRPr="00E92067">
          <w:rPr>
            <w:rStyle w:val="Hyperlnk"/>
            <w:noProof/>
          </w:rPr>
          <w:t>2.2</w:t>
        </w:r>
        <w:r w:rsidR="00BF155C">
          <w:rPr>
            <w:rFonts w:asciiTheme="minorHAnsi" w:eastAsiaTheme="minorEastAsia" w:hAnsiTheme="minorHAnsi"/>
            <w:iCs w:val="0"/>
            <w:noProof/>
            <w:sz w:val="22"/>
            <w:szCs w:val="22"/>
            <w:lang w:eastAsia="sv-SE"/>
          </w:rPr>
          <w:tab/>
        </w:r>
        <w:r w:rsidR="00BF155C" w:rsidRPr="00E92067">
          <w:rPr>
            <w:rStyle w:val="Hyperlnk"/>
            <w:noProof/>
          </w:rPr>
          <w:t>Osäkerhetskällor</w:t>
        </w:r>
        <w:r w:rsidR="00BF155C">
          <w:rPr>
            <w:noProof/>
            <w:webHidden/>
          </w:rPr>
          <w:tab/>
        </w:r>
        <w:r w:rsidR="00BF155C">
          <w:rPr>
            <w:noProof/>
            <w:webHidden/>
          </w:rPr>
          <w:fldChar w:fldCharType="begin"/>
        </w:r>
        <w:r w:rsidR="00BF155C">
          <w:rPr>
            <w:noProof/>
            <w:webHidden/>
          </w:rPr>
          <w:instrText xml:space="preserve"> PAGEREF _Toc2001578 \h </w:instrText>
        </w:r>
        <w:r w:rsidR="00BF155C">
          <w:rPr>
            <w:noProof/>
            <w:webHidden/>
          </w:rPr>
        </w:r>
        <w:r w:rsidR="00BF155C">
          <w:rPr>
            <w:noProof/>
            <w:webHidden/>
          </w:rPr>
          <w:fldChar w:fldCharType="separate"/>
        </w:r>
        <w:r w:rsidR="00CB2FFE">
          <w:rPr>
            <w:noProof/>
            <w:webHidden/>
          </w:rPr>
          <w:t>9</w:t>
        </w:r>
        <w:r w:rsidR="00BF155C">
          <w:rPr>
            <w:noProof/>
            <w:webHidden/>
          </w:rPr>
          <w:fldChar w:fldCharType="end"/>
        </w:r>
      </w:hyperlink>
    </w:p>
    <w:p w14:paraId="1D140B7E" w14:textId="31C368AF"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79" w:history="1">
        <w:r w:rsidR="00BF155C" w:rsidRPr="00E92067">
          <w:rPr>
            <w:rStyle w:val="Hyperlnk"/>
            <w:noProof/>
          </w:rPr>
          <w:t>2.2.1</w:t>
        </w:r>
        <w:r w:rsidR="00BF155C">
          <w:rPr>
            <w:rFonts w:asciiTheme="minorHAnsi" w:eastAsiaTheme="minorEastAsia" w:hAnsiTheme="minorHAnsi"/>
            <w:noProof/>
            <w:sz w:val="22"/>
            <w:szCs w:val="22"/>
            <w:lang w:eastAsia="sv-SE"/>
          </w:rPr>
          <w:tab/>
        </w:r>
        <w:r w:rsidR="00BF155C" w:rsidRPr="00E92067">
          <w:rPr>
            <w:rStyle w:val="Hyperlnk"/>
            <w:noProof/>
          </w:rPr>
          <w:t>Urval</w:t>
        </w:r>
        <w:r w:rsidR="00BF155C">
          <w:rPr>
            <w:noProof/>
            <w:webHidden/>
          </w:rPr>
          <w:tab/>
        </w:r>
        <w:r w:rsidR="00BF155C">
          <w:rPr>
            <w:noProof/>
            <w:webHidden/>
          </w:rPr>
          <w:fldChar w:fldCharType="begin"/>
        </w:r>
        <w:r w:rsidR="00BF155C">
          <w:rPr>
            <w:noProof/>
            <w:webHidden/>
          </w:rPr>
          <w:instrText xml:space="preserve"> PAGEREF _Toc2001579 \h </w:instrText>
        </w:r>
        <w:r w:rsidR="00BF155C">
          <w:rPr>
            <w:noProof/>
            <w:webHidden/>
          </w:rPr>
        </w:r>
        <w:r w:rsidR="00BF155C">
          <w:rPr>
            <w:noProof/>
            <w:webHidden/>
          </w:rPr>
          <w:fldChar w:fldCharType="separate"/>
        </w:r>
        <w:r w:rsidR="00CB2FFE">
          <w:rPr>
            <w:noProof/>
            <w:webHidden/>
          </w:rPr>
          <w:t>9</w:t>
        </w:r>
        <w:r w:rsidR="00BF155C">
          <w:rPr>
            <w:noProof/>
            <w:webHidden/>
          </w:rPr>
          <w:fldChar w:fldCharType="end"/>
        </w:r>
      </w:hyperlink>
    </w:p>
    <w:p w14:paraId="2509AA0E" w14:textId="63A7C03A"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80" w:history="1">
        <w:r w:rsidR="00BF155C" w:rsidRPr="00E92067">
          <w:rPr>
            <w:rStyle w:val="Hyperlnk"/>
            <w:noProof/>
          </w:rPr>
          <w:t>2.2.2</w:t>
        </w:r>
        <w:r w:rsidR="00BF155C">
          <w:rPr>
            <w:rFonts w:asciiTheme="minorHAnsi" w:eastAsiaTheme="minorEastAsia" w:hAnsiTheme="minorHAnsi"/>
            <w:noProof/>
            <w:sz w:val="22"/>
            <w:szCs w:val="22"/>
            <w:lang w:eastAsia="sv-SE"/>
          </w:rPr>
          <w:tab/>
        </w:r>
        <w:r w:rsidR="00BF155C" w:rsidRPr="00E92067">
          <w:rPr>
            <w:rStyle w:val="Hyperlnk"/>
            <w:noProof/>
          </w:rPr>
          <w:t>Ramtäckning</w:t>
        </w:r>
        <w:r w:rsidR="00BF155C">
          <w:rPr>
            <w:noProof/>
            <w:webHidden/>
          </w:rPr>
          <w:tab/>
        </w:r>
        <w:r w:rsidR="00BF155C">
          <w:rPr>
            <w:noProof/>
            <w:webHidden/>
          </w:rPr>
          <w:fldChar w:fldCharType="begin"/>
        </w:r>
        <w:r w:rsidR="00BF155C">
          <w:rPr>
            <w:noProof/>
            <w:webHidden/>
          </w:rPr>
          <w:instrText xml:space="preserve"> PAGEREF _Toc2001580 \h </w:instrText>
        </w:r>
        <w:r w:rsidR="00BF155C">
          <w:rPr>
            <w:noProof/>
            <w:webHidden/>
          </w:rPr>
        </w:r>
        <w:r w:rsidR="00BF155C">
          <w:rPr>
            <w:noProof/>
            <w:webHidden/>
          </w:rPr>
          <w:fldChar w:fldCharType="separate"/>
        </w:r>
        <w:r w:rsidR="00CB2FFE">
          <w:rPr>
            <w:noProof/>
            <w:webHidden/>
          </w:rPr>
          <w:t>9</w:t>
        </w:r>
        <w:r w:rsidR="00BF155C">
          <w:rPr>
            <w:noProof/>
            <w:webHidden/>
          </w:rPr>
          <w:fldChar w:fldCharType="end"/>
        </w:r>
      </w:hyperlink>
    </w:p>
    <w:p w14:paraId="7ECDA749" w14:textId="4662BD7C"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81" w:history="1">
        <w:r w:rsidR="00BF155C" w:rsidRPr="00E92067">
          <w:rPr>
            <w:rStyle w:val="Hyperlnk"/>
            <w:noProof/>
          </w:rPr>
          <w:t>2.2.3</w:t>
        </w:r>
        <w:r w:rsidR="00BF155C">
          <w:rPr>
            <w:rFonts w:asciiTheme="minorHAnsi" w:eastAsiaTheme="minorEastAsia" w:hAnsiTheme="minorHAnsi"/>
            <w:noProof/>
            <w:sz w:val="22"/>
            <w:szCs w:val="22"/>
            <w:lang w:eastAsia="sv-SE"/>
          </w:rPr>
          <w:tab/>
        </w:r>
        <w:r w:rsidR="00BF155C" w:rsidRPr="00E92067">
          <w:rPr>
            <w:rStyle w:val="Hyperlnk"/>
            <w:noProof/>
          </w:rPr>
          <w:t>Mätning</w:t>
        </w:r>
        <w:r w:rsidR="00BF155C">
          <w:rPr>
            <w:noProof/>
            <w:webHidden/>
          </w:rPr>
          <w:tab/>
        </w:r>
        <w:r w:rsidR="00BF155C">
          <w:rPr>
            <w:noProof/>
            <w:webHidden/>
          </w:rPr>
          <w:fldChar w:fldCharType="begin"/>
        </w:r>
        <w:r w:rsidR="00BF155C">
          <w:rPr>
            <w:noProof/>
            <w:webHidden/>
          </w:rPr>
          <w:instrText xml:space="preserve"> PAGEREF _Toc2001581 \h </w:instrText>
        </w:r>
        <w:r w:rsidR="00BF155C">
          <w:rPr>
            <w:noProof/>
            <w:webHidden/>
          </w:rPr>
        </w:r>
        <w:r w:rsidR="00BF155C">
          <w:rPr>
            <w:noProof/>
            <w:webHidden/>
          </w:rPr>
          <w:fldChar w:fldCharType="separate"/>
        </w:r>
        <w:r w:rsidR="00CB2FFE">
          <w:rPr>
            <w:noProof/>
            <w:webHidden/>
          </w:rPr>
          <w:t>10</w:t>
        </w:r>
        <w:r w:rsidR="00BF155C">
          <w:rPr>
            <w:noProof/>
            <w:webHidden/>
          </w:rPr>
          <w:fldChar w:fldCharType="end"/>
        </w:r>
      </w:hyperlink>
    </w:p>
    <w:p w14:paraId="3297914F" w14:textId="06371C85"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82" w:history="1">
        <w:r w:rsidR="00BF155C" w:rsidRPr="00E92067">
          <w:rPr>
            <w:rStyle w:val="Hyperlnk"/>
            <w:noProof/>
          </w:rPr>
          <w:t>2.2.4</w:t>
        </w:r>
        <w:r w:rsidR="00BF155C">
          <w:rPr>
            <w:rFonts w:asciiTheme="minorHAnsi" w:eastAsiaTheme="minorEastAsia" w:hAnsiTheme="minorHAnsi"/>
            <w:noProof/>
            <w:sz w:val="22"/>
            <w:szCs w:val="22"/>
            <w:lang w:eastAsia="sv-SE"/>
          </w:rPr>
          <w:tab/>
        </w:r>
        <w:r w:rsidR="00BF155C" w:rsidRPr="00E92067">
          <w:rPr>
            <w:rStyle w:val="Hyperlnk"/>
            <w:noProof/>
          </w:rPr>
          <w:t>Bortfall</w:t>
        </w:r>
        <w:r w:rsidR="00BF155C">
          <w:rPr>
            <w:noProof/>
            <w:webHidden/>
          </w:rPr>
          <w:tab/>
        </w:r>
        <w:r w:rsidR="00BF155C">
          <w:rPr>
            <w:noProof/>
            <w:webHidden/>
          </w:rPr>
          <w:fldChar w:fldCharType="begin"/>
        </w:r>
        <w:r w:rsidR="00BF155C">
          <w:rPr>
            <w:noProof/>
            <w:webHidden/>
          </w:rPr>
          <w:instrText xml:space="preserve"> PAGEREF _Toc2001582 \h </w:instrText>
        </w:r>
        <w:r w:rsidR="00BF155C">
          <w:rPr>
            <w:noProof/>
            <w:webHidden/>
          </w:rPr>
        </w:r>
        <w:r w:rsidR="00BF155C">
          <w:rPr>
            <w:noProof/>
            <w:webHidden/>
          </w:rPr>
          <w:fldChar w:fldCharType="separate"/>
        </w:r>
        <w:r w:rsidR="00CB2FFE">
          <w:rPr>
            <w:noProof/>
            <w:webHidden/>
          </w:rPr>
          <w:t>10</w:t>
        </w:r>
        <w:r w:rsidR="00BF155C">
          <w:rPr>
            <w:noProof/>
            <w:webHidden/>
          </w:rPr>
          <w:fldChar w:fldCharType="end"/>
        </w:r>
      </w:hyperlink>
    </w:p>
    <w:p w14:paraId="7BAE4BDA" w14:textId="1A824F63"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83" w:history="1">
        <w:r w:rsidR="00BF155C" w:rsidRPr="00E92067">
          <w:rPr>
            <w:rStyle w:val="Hyperlnk"/>
            <w:noProof/>
          </w:rPr>
          <w:t>2.2.5</w:t>
        </w:r>
        <w:r w:rsidR="00BF155C">
          <w:rPr>
            <w:rFonts w:asciiTheme="minorHAnsi" w:eastAsiaTheme="minorEastAsia" w:hAnsiTheme="minorHAnsi"/>
            <w:noProof/>
            <w:sz w:val="22"/>
            <w:szCs w:val="22"/>
            <w:lang w:eastAsia="sv-SE"/>
          </w:rPr>
          <w:tab/>
        </w:r>
        <w:r w:rsidR="00BF155C" w:rsidRPr="00E92067">
          <w:rPr>
            <w:rStyle w:val="Hyperlnk"/>
            <w:noProof/>
          </w:rPr>
          <w:t>Bearbetning</w:t>
        </w:r>
        <w:r w:rsidR="00BF155C">
          <w:rPr>
            <w:noProof/>
            <w:webHidden/>
          </w:rPr>
          <w:tab/>
        </w:r>
        <w:r w:rsidR="00BF155C">
          <w:rPr>
            <w:noProof/>
            <w:webHidden/>
          </w:rPr>
          <w:fldChar w:fldCharType="begin"/>
        </w:r>
        <w:r w:rsidR="00BF155C">
          <w:rPr>
            <w:noProof/>
            <w:webHidden/>
          </w:rPr>
          <w:instrText xml:space="preserve"> PAGEREF _Toc2001583 \h </w:instrText>
        </w:r>
        <w:r w:rsidR="00BF155C">
          <w:rPr>
            <w:noProof/>
            <w:webHidden/>
          </w:rPr>
        </w:r>
        <w:r w:rsidR="00BF155C">
          <w:rPr>
            <w:noProof/>
            <w:webHidden/>
          </w:rPr>
          <w:fldChar w:fldCharType="separate"/>
        </w:r>
        <w:r w:rsidR="00CB2FFE">
          <w:rPr>
            <w:noProof/>
            <w:webHidden/>
          </w:rPr>
          <w:t>11</w:t>
        </w:r>
        <w:r w:rsidR="00BF155C">
          <w:rPr>
            <w:noProof/>
            <w:webHidden/>
          </w:rPr>
          <w:fldChar w:fldCharType="end"/>
        </w:r>
      </w:hyperlink>
    </w:p>
    <w:p w14:paraId="68A0E753" w14:textId="25B0A531" w:rsidR="00BF155C" w:rsidRDefault="0086368F">
      <w:pPr>
        <w:pStyle w:val="Innehll4"/>
        <w:tabs>
          <w:tab w:val="left" w:pos="1320"/>
          <w:tab w:val="right" w:leader="dot" w:pos="7643"/>
        </w:tabs>
        <w:rPr>
          <w:rFonts w:asciiTheme="minorHAnsi" w:eastAsiaTheme="minorEastAsia" w:hAnsiTheme="minorHAnsi"/>
          <w:noProof/>
          <w:sz w:val="22"/>
          <w:szCs w:val="22"/>
          <w:lang w:eastAsia="sv-SE"/>
        </w:rPr>
      </w:pPr>
      <w:hyperlink w:anchor="_Toc2001584" w:history="1">
        <w:r w:rsidR="00BF155C" w:rsidRPr="00E92067">
          <w:rPr>
            <w:rStyle w:val="Hyperlnk"/>
            <w:noProof/>
          </w:rPr>
          <w:t>2.2.6</w:t>
        </w:r>
        <w:r w:rsidR="00BF155C">
          <w:rPr>
            <w:rFonts w:asciiTheme="minorHAnsi" w:eastAsiaTheme="minorEastAsia" w:hAnsiTheme="minorHAnsi"/>
            <w:noProof/>
            <w:sz w:val="22"/>
            <w:szCs w:val="22"/>
            <w:lang w:eastAsia="sv-SE"/>
          </w:rPr>
          <w:tab/>
        </w:r>
        <w:r w:rsidR="00BF155C" w:rsidRPr="00E92067">
          <w:rPr>
            <w:rStyle w:val="Hyperlnk"/>
            <w:noProof/>
          </w:rPr>
          <w:t>Modellantaganden</w:t>
        </w:r>
        <w:r w:rsidR="00BF155C">
          <w:rPr>
            <w:noProof/>
            <w:webHidden/>
          </w:rPr>
          <w:tab/>
        </w:r>
        <w:r w:rsidR="00BF155C">
          <w:rPr>
            <w:noProof/>
            <w:webHidden/>
          </w:rPr>
          <w:fldChar w:fldCharType="begin"/>
        </w:r>
        <w:r w:rsidR="00BF155C">
          <w:rPr>
            <w:noProof/>
            <w:webHidden/>
          </w:rPr>
          <w:instrText xml:space="preserve"> PAGEREF _Toc2001584 \h </w:instrText>
        </w:r>
        <w:r w:rsidR="00BF155C">
          <w:rPr>
            <w:noProof/>
            <w:webHidden/>
          </w:rPr>
        </w:r>
        <w:r w:rsidR="00BF155C">
          <w:rPr>
            <w:noProof/>
            <w:webHidden/>
          </w:rPr>
          <w:fldChar w:fldCharType="separate"/>
        </w:r>
        <w:r w:rsidR="00CB2FFE">
          <w:rPr>
            <w:noProof/>
            <w:webHidden/>
          </w:rPr>
          <w:t>11</w:t>
        </w:r>
        <w:r w:rsidR="00BF155C">
          <w:rPr>
            <w:noProof/>
            <w:webHidden/>
          </w:rPr>
          <w:fldChar w:fldCharType="end"/>
        </w:r>
      </w:hyperlink>
    </w:p>
    <w:p w14:paraId="7FD7422D" w14:textId="1316A77A"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85" w:history="1">
        <w:r w:rsidR="00BF155C" w:rsidRPr="00E92067">
          <w:rPr>
            <w:rStyle w:val="Hyperlnk"/>
            <w:noProof/>
          </w:rPr>
          <w:t>2.3</w:t>
        </w:r>
        <w:r w:rsidR="00BF155C">
          <w:rPr>
            <w:rFonts w:asciiTheme="minorHAnsi" w:eastAsiaTheme="minorEastAsia" w:hAnsiTheme="minorHAnsi"/>
            <w:iCs w:val="0"/>
            <w:noProof/>
            <w:sz w:val="22"/>
            <w:szCs w:val="22"/>
            <w:lang w:eastAsia="sv-SE"/>
          </w:rPr>
          <w:tab/>
        </w:r>
        <w:r w:rsidR="00BF155C" w:rsidRPr="00E92067">
          <w:rPr>
            <w:rStyle w:val="Hyperlnk"/>
            <w:noProof/>
          </w:rPr>
          <w:t>Preliminär statistik jämförd med slutlig</w:t>
        </w:r>
        <w:r w:rsidR="00BF155C">
          <w:rPr>
            <w:noProof/>
            <w:webHidden/>
          </w:rPr>
          <w:tab/>
        </w:r>
        <w:r w:rsidR="00BF155C">
          <w:rPr>
            <w:noProof/>
            <w:webHidden/>
          </w:rPr>
          <w:fldChar w:fldCharType="begin"/>
        </w:r>
        <w:r w:rsidR="00BF155C">
          <w:rPr>
            <w:noProof/>
            <w:webHidden/>
          </w:rPr>
          <w:instrText xml:space="preserve"> PAGEREF _Toc2001585 \h </w:instrText>
        </w:r>
        <w:r w:rsidR="00BF155C">
          <w:rPr>
            <w:noProof/>
            <w:webHidden/>
          </w:rPr>
        </w:r>
        <w:r w:rsidR="00BF155C">
          <w:rPr>
            <w:noProof/>
            <w:webHidden/>
          </w:rPr>
          <w:fldChar w:fldCharType="separate"/>
        </w:r>
        <w:r w:rsidR="00CB2FFE">
          <w:rPr>
            <w:noProof/>
            <w:webHidden/>
          </w:rPr>
          <w:t>11</w:t>
        </w:r>
        <w:r w:rsidR="00BF155C">
          <w:rPr>
            <w:noProof/>
            <w:webHidden/>
          </w:rPr>
          <w:fldChar w:fldCharType="end"/>
        </w:r>
      </w:hyperlink>
    </w:p>
    <w:p w14:paraId="0012AF30" w14:textId="6B357D3A" w:rsidR="00BF155C" w:rsidRDefault="0086368F">
      <w:pPr>
        <w:pStyle w:val="Innehll2"/>
        <w:rPr>
          <w:rFonts w:asciiTheme="minorHAnsi" w:eastAsiaTheme="minorEastAsia" w:hAnsiTheme="minorHAnsi"/>
          <w:sz w:val="22"/>
          <w:szCs w:val="22"/>
          <w:lang w:eastAsia="sv-SE"/>
        </w:rPr>
      </w:pPr>
      <w:hyperlink w:anchor="_Toc2001586" w:history="1">
        <w:r w:rsidR="00BF155C" w:rsidRPr="00E92067">
          <w:rPr>
            <w:rStyle w:val="Hyperlnk"/>
          </w:rPr>
          <w:t>3</w:t>
        </w:r>
        <w:r w:rsidR="00BF155C">
          <w:rPr>
            <w:rFonts w:asciiTheme="minorHAnsi" w:eastAsiaTheme="minorEastAsia" w:hAnsiTheme="minorHAnsi"/>
            <w:sz w:val="22"/>
            <w:szCs w:val="22"/>
            <w:lang w:eastAsia="sv-SE"/>
          </w:rPr>
          <w:tab/>
        </w:r>
        <w:r w:rsidR="00BF155C" w:rsidRPr="00E92067">
          <w:rPr>
            <w:rStyle w:val="Hyperlnk"/>
          </w:rPr>
          <w:t>Aktualitet och punktlighet</w:t>
        </w:r>
        <w:r w:rsidR="00BF155C">
          <w:rPr>
            <w:webHidden/>
          </w:rPr>
          <w:tab/>
        </w:r>
        <w:r w:rsidR="00BF155C">
          <w:rPr>
            <w:webHidden/>
          </w:rPr>
          <w:fldChar w:fldCharType="begin"/>
        </w:r>
        <w:r w:rsidR="00BF155C">
          <w:rPr>
            <w:webHidden/>
          </w:rPr>
          <w:instrText xml:space="preserve"> PAGEREF _Toc2001586 \h </w:instrText>
        </w:r>
        <w:r w:rsidR="00BF155C">
          <w:rPr>
            <w:webHidden/>
          </w:rPr>
        </w:r>
        <w:r w:rsidR="00BF155C">
          <w:rPr>
            <w:webHidden/>
          </w:rPr>
          <w:fldChar w:fldCharType="separate"/>
        </w:r>
        <w:r w:rsidR="00CB2FFE">
          <w:rPr>
            <w:webHidden/>
          </w:rPr>
          <w:t>11</w:t>
        </w:r>
        <w:r w:rsidR="00BF155C">
          <w:rPr>
            <w:webHidden/>
          </w:rPr>
          <w:fldChar w:fldCharType="end"/>
        </w:r>
      </w:hyperlink>
    </w:p>
    <w:p w14:paraId="67D77B35" w14:textId="7EC41D95"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87" w:history="1">
        <w:r w:rsidR="00BF155C" w:rsidRPr="00E92067">
          <w:rPr>
            <w:rStyle w:val="Hyperlnk"/>
            <w:noProof/>
          </w:rPr>
          <w:t>3.1</w:t>
        </w:r>
        <w:r w:rsidR="00BF155C">
          <w:rPr>
            <w:rFonts w:asciiTheme="minorHAnsi" w:eastAsiaTheme="minorEastAsia" w:hAnsiTheme="minorHAnsi"/>
            <w:iCs w:val="0"/>
            <w:noProof/>
            <w:sz w:val="22"/>
            <w:szCs w:val="22"/>
            <w:lang w:eastAsia="sv-SE"/>
          </w:rPr>
          <w:tab/>
        </w:r>
        <w:r w:rsidR="00BF155C" w:rsidRPr="00E92067">
          <w:rPr>
            <w:rStyle w:val="Hyperlnk"/>
            <w:noProof/>
          </w:rPr>
          <w:t>Framställningstid</w:t>
        </w:r>
        <w:r w:rsidR="00BF155C">
          <w:rPr>
            <w:noProof/>
            <w:webHidden/>
          </w:rPr>
          <w:tab/>
        </w:r>
        <w:r w:rsidR="00BF155C">
          <w:rPr>
            <w:noProof/>
            <w:webHidden/>
          </w:rPr>
          <w:fldChar w:fldCharType="begin"/>
        </w:r>
        <w:r w:rsidR="00BF155C">
          <w:rPr>
            <w:noProof/>
            <w:webHidden/>
          </w:rPr>
          <w:instrText xml:space="preserve"> PAGEREF _Toc2001587 \h </w:instrText>
        </w:r>
        <w:r w:rsidR="00BF155C">
          <w:rPr>
            <w:noProof/>
            <w:webHidden/>
          </w:rPr>
        </w:r>
        <w:r w:rsidR="00BF155C">
          <w:rPr>
            <w:noProof/>
            <w:webHidden/>
          </w:rPr>
          <w:fldChar w:fldCharType="separate"/>
        </w:r>
        <w:r w:rsidR="00CB2FFE">
          <w:rPr>
            <w:noProof/>
            <w:webHidden/>
          </w:rPr>
          <w:t>11</w:t>
        </w:r>
        <w:r w:rsidR="00BF155C">
          <w:rPr>
            <w:noProof/>
            <w:webHidden/>
          </w:rPr>
          <w:fldChar w:fldCharType="end"/>
        </w:r>
      </w:hyperlink>
    </w:p>
    <w:p w14:paraId="509E97FD" w14:textId="4CAAE934"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88" w:history="1">
        <w:r w:rsidR="00BF155C" w:rsidRPr="00E92067">
          <w:rPr>
            <w:rStyle w:val="Hyperlnk"/>
            <w:noProof/>
          </w:rPr>
          <w:t>3.2</w:t>
        </w:r>
        <w:r w:rsidR="00BF155C">
          <w:rPr>
            <w:rFonts w:asciiTheme="minorHAnsi" w:eastAsiaTheme="minorEastAsia" w:hAnsiTheme="minorHAnsi"/>
            <w:iCs w:val="0"/>
            <w:noProof/>
            <w:sz w:val="22"/>
            <w:szCs w:val="22"/>
            <w:lang w:eastAsia="sv-SE"/>
          </w:rPr>
          <w:tab/>
        </w:r>
        <w:r w:rsidR="00BF155C" w:rsidRPr="00E92067">
          <w:rPr>
            <w:rStyle w:val="Hyperlnk"/>
            <w:noProof/>
          </w:rPr>
          <w:t>Frekvens</w:t>
        </w:r>
        <w:r w:rsidR="00BF155C">
          <w:rPr>
            <w:noProof/>
            <w:webHidden/>
          </w:rPr>
          <w:tab/>
        </w:r>
        <w:r w:rsidR="00BF155C">
          <w:rPr>
            <w:noProof/>
            <w:webHidden/>
          </w:rPr>
          <w:fldChar w:fldCharType="begin"/>
        </w:r>
        <w:r w:rsidR="00BF155C">
          <w:rPr>
            <w:noProof/>
            <w:webHidden/>
          </w:rPr>
          <w:instrText xml:space="preserve"> PAGEREF _Toc2001588 \h </w:instrText>
        </w:r>
        <w:r w:rsidR="00BF155C">
          <w:rPr>
            <w:noProof/>
            <w:webHidden/>
          </w:rPr>
        </w:r>
        <w:r w:rsidR="00BF155C">
          <w:rPr>
            <w:noProof/>
            <w:webHidden/>
          </w:rPr>
          <w:fldChar w:fldCharType="separate"/>
        </w:r>
        <w:r w:rsidR="00CB2FFE">
          <w:rPr>
            <w:noProof/>
            <w:webHidden/>
          </w:rPr>
          <w:t>12</w:t>
        </w:r>
        <w:r w:rsidR="00BF155C">
          <w:rPr>
            <w:noProof/>
            <w:webHidden/>
          </w:rPr>
          <w:fldChar w:fldCharType="end"/>
        </w:r>
      </w:hyperlink>
    </w:p>
    <w:p w14:paraId="6F39B66D" w14:textId="77B09DF9"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89" w:history="1">
        <w:r w:rsidR="00BF155C" w:rsidRPr="00E92067">
          <w:rPr>
            <w:rStyle w:val="Hyperlnk"/>
            <w:noProof/>
          </w:rPr>
          <w:t>3.3</w:t>
        </w:r>
        <w:r w:rsidR="00BF155C">
          <w:rPr>
            <w:rFonts w:asciiTheme="minorHAnsi" w:eastAsiaTheme="minorEastAsia" w:hAnsiTheme="minorHAnsi"/>
            <w:iCs w:val="0"/>
            <w:noProof/>
            <w:sz w:val="22"/>
            <w:szCs w:val="22"/>
            <w:lang w:eastAsia="sv-SE"/>
          </w:rPr>
          <w:tab/>
        </w:r>
        <w:r w:rsidR="00BF155C" w:rsidRPr="00E92067">
          <w:rPr>
            <w:rStyle w:val="Hyperlnk"/>
            <w:noProof/>
          </w:rPr>
          <w:t>Punktlighet</w:t>
        </w:r>
        <w:r w:rsidR="00BF155C">
          <w:rPr>
            <w:noProof/>
            <w:webHidden/>
          </w:rPr>
          <w:tab/>
        </w:r>
        <w:r w:rsidR="00BF155C">
          <w:rPr>
            <w:noProof/>
            <w:webHidden/>
          </w:rPr>
          <w:fldChar w:fldCharType="begin"/>
        </w:r>
        <w:r w:rsidR="00BF155C">
          <w:rPr>
            <w:noProof/>
            <w:webHidden/>
          </w:rPr>
          <w:instrText xml:space="preserve"> PAGEREF _Toc2001589 \h </w:instrText>
        </w:r>
        <w:r w:rsidR="00BF155C">
          <w:rPr>
            <w:noProof/>
            <w:webHidden/>
          </w:rPr>
        </w:r>
        <w:r w:rsidR="00BF155C">
          <w:rPr>
            <w:noProof/>
            <w:webHidden/>
          </w:rPr>
          <w:fldChar w:fldCharType="separate"/>
        </w:r>
        <w:r w:rsidR="00CB2FFE">
          <w:rPr>
            <w:noProof/>
            <w:webHidden/>
          </w:rPr>
          <w:t>12</w:t>
        </w:r>
        <w:r w:rsidR="00BF155C">
          <w:rPr>
            <w:noProof/>
            <w:webHidden/>
          </w:rPr>
          <w:fldChar w:fldCharType="end"/>
        </w:r>
      </w:hyperlink>
    </w:p>
    <w:p w14:paraId="1418548F" w14:textId="5C05B9A9" w:rsidR="00BF155C" w:rsidRDefault="0086368F">
      <w:pPr>
        <w:pStyle w:val="Innehll2"/>
        <w:rPr>
          <w:rFonts w:asciiTheme="minorHAnsi" w:eastAsiaTheme="minorEastAsia" w:hAnsiTheme="minorHAnsi"/>
          <w:sz w:val="22"/>
          <w:szCs w:val="22"/>
          <w:lang w:eastAsia="sv-SE"/>
        </w:rPr>
      </w:pPr>
      <w:hyperlink w:anchor="_Toc2001590" w:history="1">
        <w:r w:rsidR="00BF155C" w:rsidRPr="00E92067">
          <w:rPr>
            <w:rStyle w:val="Hyperlnk"/>
          </w:rPr>
          <w:t>4</w:t>
        </w:r>
        <w:r w:rsidR="00BF155C">
          <w:rPr>
            <w:rFonts w:asciiTheme="minorHAnsi" w:eastAsiaTheme="minorEastAsia" w:hAnsiTheme="minorHAnsi"/>
            <w:sz w:val="22"/>
            <w:szCs w:val="22"/>
            <w:lang w:eastAsia="sv-SE"/>
          </w:rPr>
          <w:tab/>
        </w:r>
        <w:r w:rsidR="00BF155C" w:rsidRPr="00E92067">
          <w:rPr>
            <w:rStyle w:val="Hyperlnk"/>
          </w:rPr>
          <w:t>Tillgänglighet och tydlighet</w:t>
        </w:r>
        <w:r w:rsidR="00BF155C">
          <w:rPr>
            <w:webHidden/>
          </w:rPr>
          <w:tab/>
        </w:r>
        <w:r w:rsidR="00BF155C">
          <w:rPr>
            <w:webHidden/>
          </w:rPr>
          <w:fldChar w:fldCharType="begin"/>
        </w:r>
        <w:r w:rsidR="00BF155C">
          <w:rPr>
            <w:webHidden/>
          </w:rPr>
          <w:instrText xml:space="preserve"> PAGEREF _Toc2001590 \h </w:instrText>
        </w:r>
        <w:r w:rsidR="00BF155C">
          <w:rPr>
            <w:webHidden/>
          </w:rPr>
        </w:r>
        <w:r w:rsidR="00BF155C">
          <w:rPr>
            <w:webHidden/>
          </w:rPr>
          <w:fldChar w:fldCharType="separate"/>
        </w:r>
        <w:r w:rsidR="00CB2FFE">
          <w:rPr>
            <w:webHidden/>
          </w:rPr>
          <w:t>12</w:t>
        </w:r>
        <w:r w:rsidR="00BF155C">
          <w:rPr>
            <w:webHidden/>
          </w:rPr>
          <w:fldChar w:fldCharType="end"/>
        </w:r>
      </w:hyperlink>
    </w:p>
    <w:p w14:paraId="0470A73A" w14:textId="6F850C8D"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91" w:history="1">
        <w:r w:rsidR="00BF155C" w:rsidRPr="00E92067">
          <w:rPr>
            <w:rStyle w:val="Hyperlnk"/>
            <w:noProof/>
          </w:rPr>
          <w:t>4.1</w:t>
        </w:r>
        <w:r w:rsidR="00BF155C">
          <w:rPr>
            <w:rFonts w:asciiTheme="minorHAnsi" w:eastAsiaTheme="minorEastAsia" w:hAnsiTheme="minorHAnsi"/>
            <w:iCs w:val="0"/>
            <w:noProof/>
            <w:sz w:val="22"/>
            <w:szCs w:val="22"/>
            <w:lang w:eastAsia="sv-SE"/>
          </w:rPr>
          <w:tab/>
        </w:r>
        <w:r w:rsidR="00BF155C" w:rsidRPr="00E92067">
          <w:rPr>
            <w:rStyle w:val="Hyperlnk"/>
            <w:noProof/>
          </w:rPr>
          <w:t>Tillgång till statistiken</w:t>
        </w:r>
        <w:r w:rsidR="00BF155C">
          <w:rPr>
            <w:noProof/>
            <w:webHidden/>
          </w:rPr>
          <w:tab/>
        </w:r>
        <w:r w:rsidR="00BF155C">
          <w:rPr>
            <w:noProof/>
            <w:webHidden/>
          </w:rPr>
          <w:fldChar w:fldCharType="begin"/>
        </w:r>
        <w:r w:rsidR="00BF155C">
          <w:rPr>
            <w:noProof/>
            <w:webHidden/>
          </w:rPr>
          <w:instrText xml:space="preserve"> PAGEREF _Toc2001591 \h </w:instrText>
        </w:r>
        <w:r w:rsidR="00BF155C">
          <w:rPr>
            <w:noProof/>
            <w:webHidden/>
          </w:rPr>
        </w:r>
        <w:r w:rsidR="00BF155C">
          <w:rPr>
            <w:noProof/>
            <w:webHidden/>
          </w:rPr>
          <w:fldChar w:fldCharType="separate"/>
        </w:r>
        <w:r w:rsidR="00CB2FFE">
          <w:rPr>
            <w:noProof/>
            <w:webHidden/>
          </w:rPr>
          <w:t>12</w:t>
        </w:r>
        <w:r w:rsidR="00BF155C">
          <w:rPr>
            <w:noProof/>
            <w:webHidden/>
          </w:rPr>
          <w:fldChar w:fldCharType="end"/>
        </w:r>
      </w:hyperlink>
    </w:p>
    <w:p w14:paraId="70CC152A" w14:textId="31DE3037"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92" w:history="1">
        <w:r w:rsidR="00BF155C" w:rsidRPr="00E92067">
          <w:rPr>
            <w:rStyle w:val="Hyperlnk"/>
            <w:noProof/>
          </w:rPr>
          <w:t>4.2</w:t>
        </w:r>
        <w:r w:rsidR="00BF155C">
          <w:rPr>
            <w:rFonts w:asciiTheme="minorHAnsi" w:eastAsiaTheme="minorEastAsia" w:hAnsiTheme="minorHAnsi"/>
            <w:iCs w:val="0"/>
            <w:noProof/>
            <w:sz w:val="22"/>
            <w:szCs w:val="22"/>
            <w:lang w:eastAsia="sv-SE"/>
          </w:rPr>
          <w:tab/>
        </w:r>
        <w:r w:rsidR="00BF155C" w:rsidRPr="00E92067">
          <w:rPr>
            <w:rStyle w:val="Hyperlnk"/>
            <w:noProof/>
          </w:rPr>
          <w:t>Möjlighet till ytterligare statistik</w:t>
        </w:r>
        <w:r w:rsidR="00BF155C">
          <w:rPr>
            <w:noProof/>
            <w:webHidden/>
          </w:rPr>
          <w:tab/>
        </w:r>
        <w:r w:rsidR="00BF155C">
          <w:rPr>
            <w:noProof/>
            <w:webHidden/>
          </w:rPr>
          <w:fldChar w:fldCharType="begin"/>
        </w:r>
        <w:r w:rsidR="00BF155C">
          <w:rPr>
            <w:noProof/>
            <w:webHidden/>
          </w:rPr>
          <w:instrText xml:space="preserve"> PAGEREF _Toc2001592 \h </w:instrText>
        </w:r>
        <w:r w:rsidR="00BF155C">
          <w:rPr>
            <w:noProof/>
            <w:webHidden/>
          </w:rPr>
        </w:r>
        <w:r w:rsidR="00BF155C">
          <w:rPr>
            <w:noProof/>
            <w:webHidden/>
          </w:rPr>
          <w:fldChar w:fldCharType="separate"/>
        </w:r>
        <w:r w:rsidR="00CB2FFE">
          <w:rPr>
            <w:noProof/>
            <w:webHidden/>
          </w:rPr>
          <w:t>12</w:t>
        </w:r>
        <w:r w:rsidR="00BF155C">
          <w:rPr>
            <w:noProof/>
            <w:webHidden/>
          </w:rPr>
          <w:fldChar w:fldCharType="end"/>
        </w:r>
      </w:hyperlink>
    </w:p>
    <w:p w14:paraId="6054D5D5" w14:textId="63D71C88"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93" w:history="1">
        <w:r w:rsidR="00BF155C" w:rsidRPr="00E92067">
          <w:rPr>
            <w:rStyle w:val="Hyperlnk"/>
            <w:noProof/>
          </w:rPr>
          <w:t>4.3</w:t>
        </w:r>
        <w:r w:rsidR="00BF155C">
          <w:rPr>
            <w:rFonts w:asciiTheme="minorHAnsi" w:eastAsiaTheme="minorEastAsia" w:hAnsiTheme="minorHAnsi"/>
            <w:iCs w:val="0"/>
            <w:noProof/>
            <w:sz w:val="22"/>
            <w:szCs w:val="22"/>
            <w:lang w:eastAsia="sv-SE"/>
          </w:rPr>
          <w:tab/>
        </w:r>
        <w:r w:rsidR="00BF155C" w:rsidRPr="00E92067">
          <w:rPr>
            <w:rStyle w:val="Hyperlnk"/>
            <w:noProof/>
          </w:rPr>
          <w:t>Presentation</w:t>
        </w:r>
        <w:r w:rsidR="00BF155C">
          <w:rPr>
            <w:noProof/>
            <w:webHidden/>
          </w:rPr>
          <w:tab/>
        </w:r>
        <w:r w:rsidR="00BF155C">
          <w:rPr>
            <w:noProof/>
            <w:webHidden/>
          </w:rPr>
          <w:fldChar w:fldCharType="begin"/>
        </w:r>
        <w:r w:rsidR="00BF155C">
          <w:rPr>
            <w:noProof/>
            <w:webHidden/>
          </w:rPr>
          <w:instrText xml:space="preserve"> PAGEREF _Toc2001593 \h </w:instrText>
        </w:r>
        <w:r w:rsidR="00BF155C">
          <w:rPr>
            <w:noProof/>
            <w:webHidden/>
          </w:rPr>
        </w:r>
        <w:r w:rsidR="00BF155C">
          <w:rPr>
            <w:noProof/>
            <w:webHidden/>
          </w:rPr>
          <w:fldChar w:fldCharType="separate"/>
        </w:r>
        <w:r w:rsidR="00CB2FFE">
          <w:rPr>
            <w:noProof/>
            <w:webHidden/>
          </w:rPr>
          <w:t>12</w:t>
        </w:r>
        <w:r w:rsidR="00BF155C">
          <w:rPr>
            <w:noProof/>
            <w:webHidden/>
          </w:rPr>
          <w:fldChar w:fldCharType="end"/>
        </w:r>
      </w:hyperlink>
    </w:p>
    <w:p w14:paraId="319C23AC" w14:textId="237AFC36"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94" w:history="1">
        <w:r w:rsidR="00BF155C" w:rsidRPr="00E92067">
          <w:rPr>
            <w:rStyle w:val="Hyperlnk"/>
            <w:noProof/>
          </w:rPr>
          <w:t>4.4</w:t>
        </w:r>
        <w:r w:rsidR="00BF155C">
          <w:rPr>
            <w:rFonts w:asciiTheme="minorHAnsi" w:eastAsiaTheme="minorEastAsia" w:hAnsiTheme="minorHAnsi"/>
            <w:iCs w:val="0"/>
            <w:noProof/>
            <w:sz w:val="22"/>
            <w:szCs w:val="22"/>
            <w:lang w:eastAsia="sv-SE"/>
          </w:rPr>
          <w:tab/>
        </w:r>
        <w:r w:rsidR="00BF155C" w:rsidRPr="00E92067">
          <w:rPr>
            <w:rStyle w:val="Hyperlnk"/>
            <w:noProof/>
          </w:rPr>
          <w:t>Dokumentation</w:t>
        </w:r>
        <w:r w:rsidR="00BF155C">
          <w:rPr>
            <w:noProof/>
            <w:webHidden/>
          </w:rPr>
          <w:tab/>
        </w:r>
        <w:r w:rsidR="00BF155C">
          <w:rPr>
            <w:noProof/>
            <w:webHidden/>
          </w:rPr>
          <w:fldChar w:fldCharType="begin"/>
        </w:r>
        <w:r w:rsidR="00BF155C">
          <w:rPr>
            <w:noProof/>
            <w:webHidden/>
          </w:rPr>
          <w:instrText xml:space="preserve"> PAGEREF _Toc2001594 \h </w:instrText>
        </w:r>
        <w:r w:rsidR="00BF155C">
          <w:rPr>
            <w:noProof/>
            <w:webHidden/>
          </w:rPr>
        </w:r>
        <w:r w:rsidR="00BF155C">
          <w:rPr>
            <w:noProof/>
            <w:webHidden/>
          </w:rPr>
          <w:fldChar w:fldCharType="separate"/>
        </w:r>
        <w:r w:rsidR="00CB2FFE">
          <w:rPr>
            <w:noProof/>
            <w:webHidden/>
          </w:rPr>
          <w:t>12</w:t>
        </w:r>
        <w:r w:rsidR="00BF155C">
          <w:rPr>
            <w:noProof/>
            <w:webHidden/>
          </w:rPr>
          <w:fldChar w:fldCharType="end"/>
        </w:r>
      </w:hyperlink>
    </w:p>
    <w:p w14:paraId="4E11486A" w14:textId="50AE44F8" w:rsidR="00BF155C" w:rsidRDefault="0086368F">
      <w:pPr>
        <w:pStyle w:val="Innehll2"/>
        <w:rPr>
          <w:rFonts w:asciiTheme="minorHAnsi" w:eastAsiaTheme="minorEastAsia" w:hAnsiTheme="minorHAnsi"/>
          <w:sz w:val="22"/>
          <w:szCs w:val="22"/>
          <w:lang w:eastAsia="sv-SE"/>
        </w:rPr>
      </w:pPr>
      <w:hyperlink w:anchor="_Toc2001595" w:history="1">
        <w:r w:rsidR="00BF155C" w:rsidRPr="00E92067">
          <w:rPr>
            <w:rStyle w:val="Hyperlnk"/>
          </w:rPr>
          <w:t>5</w:t>
        </w:r>
        <w:r w:rsidR="00BF155C">
          <w:rPr>
            <w:rFonts w:asciiTheme="minorHAnsi" w:eastAsiaTheme="minorEastAsia" w:hAnsiTheme="minorHAnsi"/>
            <w:sz w:val="22"/>
            <w:szCs w:val="22"/>
            <w:lang w:eastAsia="sv-SE"/>
          </w:rPr>
          <w:tab/>
        </w:r>
        <w:r w:rsidR="00BF155C" w:rsidRPr="00E92067">
          <w:rPr>
            <w:rStyle w:val="Hyperlnk"/>
          </w:rPr>
          <w:t>Jämförbarhet och samanvändbarhet</w:t>
        </w:r>
        <w:r w:rsidR="00BF155C">
          <w:rPr>
            <w:webHidden/>
          </w:rPr>
          <w:tab/>
        </w:r>
        <w:r w:rsidR="00BF155C">
          <w:rPr>
            <w:webHidden/>
          </w:rPr>
          <w:fldChar w:fldCharType="begin"/>
        </w:r>
        <w:r w:rsidR="00BF155C">
          <w:rPr>
            <w:webHidden/>
          </w:rPr>
          <w:instrText xml:space="preserve"> PAGEREF _Toc2001595 \h </w:instrText>
        </w:r>
        <w:r w:rsidR="00BF155C">
          <w:rPr>
            <w:webHidden/>
          </w:rPr>
        </w:r>
        <w:r w:rsidR="00BF155C">
          <w:rPr>
            <w:webHidden/>
          </w:rPr>
          <w:fldChar w:fldCharType="separate"/>
        </w:r>
        <w:r w:rsidR="00CB2FFE">
          <w:rPr>
            <w:webHidden/>
          </w:rPr>
          <w:t>12</w:t>
        </w:r>
        <w:r w:rsidR="00BF155C">
          <w:rPr>
            <w:webHidden/>
          </w:rPr>
          <w:fldChar w:fldCharType="end"/>
        </w:r>
      </w:hyperlink>
    </w:p>
    <w:p w14:paraId="0813D690" w14:textId="2D3864BA"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96" w:history="1">
        <w:r w:rsidR="00BF155C" w:rsidRPr="00E92067">
          <w:rPr>
            <w:rStyle w:val="Hyperlnk"/>
            <w:noProof/>
          </w:rPr>
          <w:t>5.1</w:t>
        </w:r>
        <w:r w:rsidR="00BF155C">
          <w:rPr>
            <w:rFonts w:asciiTheme="minorHAnsi" w:eastAsiaTheme="minorEastAsia" w:hAnsiTheme="minorHAnsi"/>
            <w:iCs w:val="0"/>
            <w:noProof/>
            <w:sz w:val="22"/>
            <w:szCs w:val="22"/>
            <w:lang w:eastAsia="sv-SE"/>
          </w:rPr>
          <w:tab/>
        </w:r>
        <w:r w:rsidR="00BF155C" w:rsidRPr="00E92067">
          <w:rPr>
            <w:rStyle w:val="Hyperlnk"/>
            <w:noProof/>
          </w:rPr>
          <w:t>Jämförbarhet över tid</w:t>
        </w:r>
        <w:r w:rsidR="00BF155C">
          <w:rPr>
            <w:noProof/>
            <w:webHidden/>
          </w:rPr>
          <w:tab/>
        </w:r>
        <w:r w:rsidR="00BF155C">
          <w:rPr>
            <w:noProof/>
            <w:webHidden/>
          </w:rPr>
          <w:fldChar w:fldCharType="begin"/>
        </w:r>
        <w:r w:rsidR="00BF155C">
          <w:rPr>
            <w:noProof/>
            <w:webHidden/>
          </w:rPr>
          <w:instrText xml:space="preserve"> PAGEREF _Toc2001596 \h </w:instrText>
        </w:r>
        <w:r w:rsidR="00BF155C">
          <w:rPr>
            <w:noProof/>
            <w:webHidden/>
          </w:rPr>
        </w:r>
        <w:r w:rsidR="00BF155C">
          <w:rPr>
            <w:noProof/>
            <w:webHidden/>
          </w:rPr>
          <w:fldChar w:fldCharType="separate"/>
        </w:r>
        <w:r w:rsidR="00CB2FFE">
          <w:rPr>
            <w:noProof/>
            <w:webHidden/>
          </w:rPr>
          <w:t>12</w:t>
        </w:r>
        <w:r w:rsidR="00BF155C">
          <w:rPr>
            <w:noProof/>
            <w:webHidden/>
          </w:rPr>
          <w:fldChar w:fldCharType="end"/>
        </w:r>
      </w:hyperlink>
    </w:p>
    <w:p w14:paraId="7C1B13CC" w14:textId="374E2749"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97" w:history="1">
        <w:r w:rsidR="00BF155C" w:rsidRPr="00E92067">
          <w:rPr>
            <w:rStyle w:val="Hyperlnk"/>
            <w:noProof/>
          </w:rPr>
          <w:t>5.2</w:t>
        </w:r>
        <w:r w:rsidR="00BF155C">
          <w:rPr>
            <w:rFonts w:asciiTheme="minorHAnsi" w:eastAsiaTheme="minorEastAsia" w:hAnsiTheme="minorHAnsi"/>
            <w:iCs w:val="0"/>
            <w:noProof/>
            <w:sz w:val="22"/>
            <w:szCs w:val="22"/>
            <w:lang w:eastAsia="sv-SE"/>
          </w:rPr>
          <w:tab/>
        </w:r>
        <w:r w:rsidR="00BF155C" w:rsidRPr="00E92067">
          <w:rPr>
            <w:rStyle w:val="Hyperlnk"/>
            <w:noProof/>
          </w:rPr>
          <w:t>Jämförbarhet mellan grupper</w:t>
        </w:r>
        <w:r w:rsidR="00BF155C">
          <w:rPr>
            <w:noProof/>
            <w:webHidden/>
          </w:rPr>
          <w:tab/>
        </w:r>
        <w:r w:rsidR="00BF155C">
          <w:rPr>
            <w:noProof/>
            <w:webHidden/>
          </w:rPr>
          <w:fldChar w:fldCharType="begin"/>
        </w:r>
        <w:r w:rsidR="00BF155C">
          <w:rPr>
            <w:noProof/>
            <w:webHidden/>
          </w:rPr>
          <w:instrText xml:space="preserve"> PAGEREF _Toc2001597 \h </w:instrText>
        </w:r>
        <w:r w:rsidR="00BF155C">
          <w:rPr>
            <w:noProof/>
            <w:webHidden/>
          </w:rPr>
        </w:r>
        <w:r w:rsidR="00BF155C">
          <w:rPr>
            <w:noProof/>
            <w:webHidden/>
          </w:rPr>
          <w:fldChar w:fldCharType="separate"/>
        </w:r>
        <w:r w:rsidR="00CB2FFE">
          <w:rPr>
            <w:noProof/>
            <w:webHidden/>
          </w:rPr>
          <w:t>13</w:t>
        </w:r>
        <w:r w:rsidR="00BF155C">
          <w:rPr>
            <w:noProof/>
            <w:webHidden/>
          </w:rPr>
          <w:fldChar w:fldCharType="end"/>
        </w:r>
      </w:hyperlink>
    </w:p>
    <w:p w14:paraId="35D36FDF" w14:textId="3127C6E6"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98" w:history="1">
        <w:r w:rsidR="00BF155C" w:rsidRPr="00E92067">
          <w:rPr>
            <w:rStyle w:val="Hyperlnk"/>
            <w:noProof/>
          </w:rPr>
          <w:t>5.3</w:t>
        </w:r>
        <w:r w:rsidR="00BF155C">
          <w:rPr>
            <w:rFonts w:asciiTheme="minorHAnsi" w:eastAsiaTheme="minorEastAsia" w:hAnsiTheme="minorHAnsi"/>
            <w:iCs w:val="0"/>
            <w:noProof/>
            <w:sz w:val="22"/>
            <w:szCs w:val="22"/>
            <w:lang w:eastAsia="sv-SE"/>
          </w:rPr>
          <w:tab/>
        </w:r>
        <w:r w:rsidR="00BF155C" w:rsidRPr="00E92067">
          <w:rPr>
            <w:rStyle w:val="Hyperlnk"/>
            <w:noProof/>
          </w:rPr>
          <w:t>Samanvändbarhet i övrigt</w:t>
        </w:r>
        <w:r w:rsidR="00BF155C">
          <w:rPr>
            <w:noProof/>
            <w:webHidden/>
          </w:rPr>
          <w:tab/>
        </w:r>
        <w:r w:rsidR="00BF155C">
          <w:rPr>
            <w:noProof/>
            <w:webHidden/>
          </w:rPr>
          <w:fldChar w:fldCharType="begin"/>
        </w:r>
        <w:r w:rsidR="00BF155C">
          <w:rPr>
            <w:noProof/>
            <w:webHidden/>
          </w:rPr>
          <w:instrText xml:space="preserve"> PAGEREF _Toc2001598 \h </w:instrText>
        </w:r>
        <w:r w:rsidR="00BF155C">
          <w:rPr>
            <w:noProof/>
            <w:webHidden/>
          </w:rPr>
        </w:r>
        <w:r w:rsidR="00BF155C">
          <w:rPr>
            <w:noProof/>
            <w:webHidden/>
          </w:rPr>
          <w:fldChar w:fldCharType="separate"/>
        </w:r>
        <w:r w:rsidR="00CB2FFE">
          <w:rPr>
            <w:noProof/>
            <w:webHidden/>
          </w:rPr>
          <w:t>13</w:t>
        </w:r>
        <w:r w:rsidR="00BF155C">
          <w:rPr>
            <w:noProof/>
            <w:webHidden/>
          </w:rPr>
          <w:fldChar w:fldCharType="end"/>
        </w:r>
      </w:hyperlink>
    </w:p>
    <w:p w14:paraId="0B77941C" w14:textId="30F9A31A" w:rsidR="00BF155C" w:rsidRDefault="0086368F">
      <w:pPr>
        <w:pStyle w:val="Innehll3"/>
        <w:tabs>
          <w:tab w:val="left" w:pos="1100"/>
          <w:tab w:val="right" w:leader="dot" w:pos="7643"/>
        </w:tabs>
        <w:rPr>
          <w:rFonts w:asciiTheme="minorHAnsi" w:eastAsiaTheme="minorEastAsia" w:hAnsiTheme="minorHAnsi"/>
          <w:iCs w:val="0"/>
          <w:noProof/>
          <w:sz w:val="22"/>
          <w:szCs w:val="22"/>
          <w:lang w:eastAsia="sv-SE"/>
        </w:rPr>
      </w:pPr>
      <w:hyperlink w:anchor="_Toc2001599" w:history="1">
        <w:r w:rsidR="00BF155C" w:rsidRPr="00E92067">
          <w:rPr>
            <w:rStyle w:val="Hyperlnk"/>
            <w:noProof/>
          </w:rPr>
          <w:t>5.4</w:t>
        </w:r>
        <w:r w:rsidR="00BF155C">
          <w:rPr>
            <w:rFonts w:asciiTheme="minorHAnsi" w:eastAsiaTheme="minorEastAsia" w:hAnsiTheme="minorHAnsi"/>
            <w:iCs w:val="0"/>
            <w:noProof/>
            <w:sz w:val="22"/>
            <w:szCs w:val="22"/>
            <w:lang w:eastAsia="sv-SE"/>
          </w:rPr>
          <w:tab/>
        </w:r>
        <w:r w:rsidR="00BF155C" w:rsidRPr="00E92067">
          <w:rPr>
            <w:rStyle w:val="Hyperlnk"/>
            <w:noProof/>
          </w:rPr>
          <w:t>Numerisk överensstämmelse</w:t>
        </w:r>
        <w:r w:rsidR="00BF155C">
          <w:rPr>
            <w:noProof/>
            <w:webHidden/>
          </w:rPr>
          <w:tab/>
        </w:r>
        <w:r w:rsidR="00BF155C">
          <w:rPr>
            <w:noProof/>
            <w:webHidden/>
          </w:rPr>
          <w:fldChar w:fldCharType="begin"/>
        </w:r>
        <w:r w:rsidR="00BF155C">
          <w:rPr>
            <w:noProof/>
            <w:webHidden/>
          </w:rPr>
          <w:instrText xml:space="preserve"> PAGEREF _Toc2001599 \h </w:instrText>
        </w:r>
        <w:r w:rsidR="00BF155C">
          <w:rPr>
            <w:noProof/>
            <w:webHidden/>
          </w:rPr>
        </w:r>
        <w:r w:rsidR="00BF155C">
          <w:rPr>
            <w:noProof/>
            <w:webHidden/>
          </w:rPr>
          <w:fldChar w:fldCharType="separate"/>
        </w:r>
        <w:r w:rsidR="00CB2FFE">
          <w:rPr>
            <w:noProof/>
            <w:webHidden/>
          </w:rPr>
          <w:t>13</w:t>
        </w:r>
        <w:r w:rsidR="00BF155C">
          <w:rPr>
            <w:noProof/>
            <w:webHidden/>
          </w:rPr>
          <w:fldChar w:fldCharType="end"/>
        </w:r>
      </w:hyperlink>
    </w:p>
    <w:p w14:paraId="05799E56" w14:textId="0D23C6E5" w:rsidR="00BF155C" w:rsidRDefault="0086368F">
      <w:pPr>
        <w:pStyle w:val="Innehll1"/>
        <w:tabs>
          <w:tab w:val="right" w:leader="dot" w:pos="7643"/>
        </w:tabs>
        <w:rPr>
          <w:rFonts w:asciiTheme="minorHAnsi" w:eastAsiaTheme="minorEastAsia" w:hAnsiTheme="minorHAnsi"/>
          <w:b w:val="0"/>
          <w:bCs w:val="0"/>
          <w:noProof/>
          <w:sz w:val="22"/>
          <w:szCs w:val="22"/>
          <w:lang w:eastAsia="sv-SE"/>
        </w:rPr>
      </w:pPr>
      <w:hyperlink w:anchor="_Toc2001600" w:history="1">
        <w:r w:rsidR="00BF155C" w:rsidRPr="00E92067">
          <w:rPr>
            <w:rStyle w:val="Hyperlnk"/>
            <w:rFonts w:eastAsia="Times New Roman" w:cs="Arial"/>
            <w:noProof/>
            <w:lang w:eastAsia="sv-SE"/>
          </w:rPr>
          <w:t>Allmänna uppgifter</w:t>
        </w:r>
        <w:r w:rsidR="00BF155C">
          <w:rPr>
            <w:noProof/>
            <w:webHidden/>
          </w:rPr>
          <w:tab/>
        </w:r>
        <w:r w:rsidR="00BF155C">
          <w:rPr>
            <w:noProof/>
            <w:webHidden/>
          </w:rPr>
          <w:fldChar w:fldCharType="begin"/>
        </w:r>
        <w:r w:rsidR="00BF155C">
          <w:rPr>
            <w:noProof/>
            <w:webHidden/>
          </w:rPr>
          <w:instrText xml:space="preserve"> PAGEREF _Toc2001600 \h </w:instrText>
        </w:r>
        <w:r w:rsidR="00BF155C">
          <w:rPr>
            <w:noProof/>
            <w:webHidden/>
          </w:rPr>
        </w:r>
        <w:r w:rsidR="00BF155C">
          <w:rPr>
            <w:noProof/>
            <w:webHidden/>
          </w:rPr>
          <w:fldChar w:fldCharType="separate"/>
        </w:r>
        <w:r w:rsidR="00CB2FFE">
          <w:rPr>
            <w:noProof/>
            <w:webHidden/>
          </w:rPr>
          <w:t>14</w:t>
        </w:r>
        <w:r w:rsidR="00BF155C">
          <w:rPr>
            <w:noProof/>
            <w:webHidden/>
          </w:rPr>
          <w:fldChar w:fldCharType="end"/>
        </w:r>
      </w:hyperlink>
    </w:p>
    <w:p w14:paraId="25BC0A82" w14:textId="3CAF9B1F" w:rsidR="00BF155C" w:rsidRDefault="0086368F">
      <w:pPr>
        <w:pStyle w:val="Innehll2"/>
        <w:rPr>
          <w:rFonts w:asciiTheme="minorHAnsi" w:eastAsiaTheme="minorEastAsia" w:hAnsiTheme="minorHAnsi"/>
          <w:sz w:val="22"/>
          <w:szCs w:val="22"/>
          <w:lang w:eastAsia="sv-SE"/>
        </w:rPr>
      </w:pPr>
      <w:hyperlink w:anchor="_Toc2001601" w:history="1">
        <w:r w:rsidR="00BF155C" w:rsidRPr="00E92067">
          <w:rPr>
            <w:rStyle w:val="Hyperlnk"/>
          </w:rPr>
          <w:t>A</w:t>
        </w:r>
        <w:r w:rsidR="00BF155C">
          <w:rPr>
            <w:rFonts w:asciiTheme="minorHAnsi" w:eastAsiaTheme="minorEastAsia" w:hAnsiTheme="minorHAnsi"/>
            <w:sz w:val="22"/>
            <w:szCs w:val="22"/>
            <w:lang w:eastAsia="sv-SE"/>
          </w:rPr>
          <w:tab/>
        </w:r>
        <w:r w:rsidR="00BF155C" w:rsidRPr="00E92067">
          <w:rPr>
            <w:rStyle w:val="Hyperlnk"/>
          </w:rPr>
          <w:t>Klassificeringen Sveriges officiella statistik</w:t>
        </w:r>
        <w:r w:rsidR="00BF155C">
          <w:rPr>
            <w:webHidden/>
          </w:rPr>
          <w:tab/>
        </w:r>
        <w:r w:rsidR="00BF155C">
          <w:rPr>
            <w:webHidden/>
          </w:rPr>
          <w:fldChar w:fldCharType="begin"/>
        </w:r>
        <w:r w:rsidR="00BF155C">
          <w:rPr>
            <w:webHidden/>
          </w:rPr>
          <w:instrText xml:space="preserve"> PAGEREF _Toc2001601 \h </w:instrText>
        </w:r>
        <w:r w:rsidR="00BF155C">
          <w:rPr>
            <w:webHidden/>
          </w:rPr>
        </w:r>
        <w:r w:rsidR="00BF155C">
          <w:rPr>
            <w:webHidden/>
          </w:rPr>
          <w:fldChar w:fldCharType="separate"/>
        </w:r>
        <w:r w:rsidR="00CB2FFE">
          <w:rPr>
            <w:webHidden/>
          </w:rPr>
          <w:t>14</w:t>
        </w:r>
        <w:r w:rsidR="00BF155C">
          <w:rPr>
            <w:webHidden/>
          </w:rPr>
          <w:fldChar w:fldCharType="end"/>
        </w:r>
      </w:hyperlink>
    </w:p>
    <w:p w14:paraId="39EBD8B8" w14:textId="5250D728" w:rsidR="00BF155C" w:rsidRDefault="0086368F">
      <w:pPr>
        <w:pStyle w:val="Innehll2"/>
        <w:rPr>
          <w:rFonts w:asciiTheme="minorHAnsi" w:eastAsiaTheme="minorEastAsia" w:hAnsiTheme="minorHAnsi"/>
          <w:sz w:val="22"/>
          <w:szCs w:val="22"/>
          <w:lang w:eastAsia="sv-SE"/>
        </w:rPr>
      </w:pPr>
      <w:hyperlink w:anchor="_Toc2001602" w:history="1">
        <w:r w:rsidR="00BF155C" w:rsidRPr="00E92067">
          <w:rPr>
            <w:rStyle w:val="Hyperlnk"/>
          </w:rPr>
          <w:t>B</w:t>
        </w:r>
        <w:r w:rsidR="00BF155C">
          <w:rPr>
            <w:rFonts w:asciiTheme="minorHAnsi" w:eastAsiaTheme="minorEastAsia" w:hAnsiTheme="minorHAnsi"/>
            <w:sz w:val="22"/>
            <w:szCs w:val="22"/>
            <w:lang w:eastAsia="sv-SE"/>
          </w:rPr>
          <w:tab/>
        </w:r>
        <w:r w:rsidR="00BF155C" w:rsidRPr="00E92067">
          <w:rPr>
            <w:rStyle w:val="Hyperlnk"/>
          </w:rPr>
          <w:t>Sekretess och personuppgiftsbehandling</w:t>
        </w:r>
        <w:r w:rsidR="00BF155C">
          <w:rPr>
            <w:webHidden/>
          </w:rPr>
          <w:tab/>
        </w:r>
        <w:r w:rsidR="00BF155C">
          <w:rPr>
            <w:webHidden/>
          </w:rPr>
          <w:fldChar w:fldCharType="begin"/>
        </w:r>
        <w:r w:rsidR="00BF155C">
          <w:rPr>
            <w:webHidden/>
          </w:rPr>
          <w:instrText xml:space="preserve"> PAGEREF _Toc2001602 \h </w:instrText>
        </w:r>
        <w:r w:rsidR="00BF155C">
          <w:rPr>
            <w:webHidden/>
          </w:rPr>
        </w:r>
        <w:r w:rsidR="00BF155C">
          <w:rPr>
            <w:webHidden/>
          </w:rPr>
          <w:fldChar w:fldCharType="separate"/>
        </w:r>
        <w:r w:rsidR="00CB2FFE">
          <w:rPr>
            <w:webHidden/>
          </w:rPr>
          <w:t>14</w:t>
        </w:r>
        <w:r w:rsidR="00BF155C">
          <w:rPr>
            <w:webHidden/>
          </w:rPr>
          <w:fldChar w:fldCharType="end"/>
        </w:r>
      </w:hyperlink>
    </w:p>
    <w:p w14:paraId="27E5ED3A" w14:textId="4409FFAE" w:rsidR="00BF155C" w:rsidRDefault="0086368F">
      <w:pPr>
        <w:pStyle w:val="Innehll2"/>
        <w:rPr>
          <w:rFonts w:asciiTheme="minorHAnsi" w:eastAsiaTheme="minorEastAsia" w:hAnsiTheme="minorHAnsi"/>
          <w:sz w:val="22"/>
          <w:szCs w:val="22"/>
          <w:lang w:eastAsia="sv-SE"/>
        </w:rPr>
      </w:pPr>
      <w:hyperlink w:anchor="_Toc2001603" w:history="1">
        <w:r w:rsidR="00BF155C" w:rsidRPr="00E92067">
          <w:rPr>
            <w:rStyle w:val="Hyperlnk"/>
          </w:rPr>
          <w:t>C</w:t>
        </w:r>
        <w:r w:rsidR="00BF155C">
          <w:rPr>
            <w:rFonts w:asciiTheme="minorHAnsi" w:eastAsiaTheme="minorEastAsia" w:hAnsiTheme="minorHAnsi"/>
            <w:sz w:val="22"/>
            <w:szCs w:val="22"/>
            <w:lang w:eastAsia="sv-SE"/>
          </w:rPr>
          <w:tab/>
        </w:r>
        <w:r w:rsidR="00BF155C" w:rsidRPr="00E92067">
          <w:rPr>
            <w:rStyle w:val="Hyperlnk"/>
          </w:rPr>
          <w:t>Bevarande och gallring</w:t>
        </w:r>
        <w:r w:rsidR="00BF155C">
          <w:rPr>
            <w:webHidden/>
          </w:rPr>
          <w:tab/>
        </w:r>
        <w:r w:rsidR="00BF155C">
          <w:rPr>
            <w:webHidden/>
          </w:rPr>
          <w:fldChar w:fldCharType="begin"/>
        </w:r>
        <w:r w:rsidR="00BF155C">
          <w:rPr>
            <w:webHidden/>
          </w:rPr>
          <w:instrText xml:space="preserve"> PAGEREF _Toc2001603 \h </w:instrText>
        </w:r>
        <w:r w:rsidR="00BF155C">
          <w:rPr>
            <w:webHidden/>
          </w:rPr>
        </w:r>
        <w:r w:rsidR="00BF155C">
          <w:rPr>
            <w:webHidden/>
          </w:rPr>
          <w:fldChar w:fldCharType="separate"/>
        </w:r>
        <w:r w:rsidR="00CB2FFE">
          <w:rPr>
            <w:webHidden/>
          </w:rPr>
          <w:t>14</w:t>
        </w:r>
        <w:r w:rsidR="00BF155C">
          <w:rPr>
            <w:webHidden/>
          </w:rPr>
          <w:fldChar w:fldCharType="end"/>
        </w:r>
      </w:hyperlink>
    </w:p>
    <w:p w14:paraId="3ACA9081" w14:textId="5A5E0A8D" w:rsidR="00BF155C" w:rsidRDefault="0086368F">
      <w:pPr>
        <w:pStyle w:val="Innehll2"/>
        <w:rPr>
          <w:rFonts w:asciiTheme="minorHAnsi" w:eastAsiaTheme="minorEastAsia" w:hAnsiTheme="minorHAnsi"/>
          <w:sz w:val="22"/>
          <w:szCs w:val="22"/>
          <w:lang w:eastAsia="sv-SE"/>
        </w:rPr>
      </w:pPr>
      <w:hyperlink w:anchor="_Toc2001604" w:history="1">
        <w:r w:rsidR="00BF155C" w:rsidRPr="00E92067">
          <w:rPr>
            <w:rStyle w:val="Hyperlnk"/>
          </w:rPr>
          <w:t>D</w:t>
        </w:r>
        <w:r w:rsidR="00BF155C">
          <w:rPr>
            <w:rFonts w:asciiTheme="minorHAnsi" w:eastAsiaTheme="minorEastAsia" w:hAnsiTheme="minorHAnsi"/>
            <w:sz w:val="22"/>
            <w:szCs w:val="22"/>
            <w:lang w:eastAsia="sv-SE"/>
          </w:rPr>
          <w:tab/>
        </w:r>
        <w:r w:rsidR="00BF155C" w:rsidRPr="00E92067">
          <w:rPr>
            <w:rStyle w:val="Hyperlnk"/>
          </w:rPr>
          <w:t>Uppgiftsskyldighet</w:t>
        </w:r>
        <w:r w:rsidR="00BF155C">
          <w:rPr>
            <w:webHidden/>
          </w:rPr>
          <w:tab/>
        </w:r>
        <w:r w:rsidR="00BF155C">
          <w:rPr>
            <w:webHidden/>
          </w:rPr>
          <w:fldChar w:fldCharType="begin"/>
        </w:r>
        <w:r w:rsidR="00BF155C">
          <w:rPr>
            <w:webHidden/>
          </w:rPr>
          <w:instrText xml:space="preserve"> PAGEREF _Toc2001604 \h </w:instrText>
        </w:r>
        <w:r w:rsidR="00BF155C">
          <w:rPr>
            <w:webHidden/>
          </w:rPr>
        </w:r>
        <w:r w:rsidR="00BF155C">
          <w:rPr>
            <w:webHidden/>
          </w:rPr>
          <w:fldChar w:fldCharType="separate"/>
        </w:r>
        <w:r w:rsidR="00CB2FFE">
          <w:rPr>
            <w:webHidden/>
          </w:rPr>
          <w:t>14</w:t>
        </w:r>
        <w:r w:rsidR="00BF155C">
          <w:rPr>
            <w:webHidden/>
          </w:rPr>
          <w:fldChar w:fldCharType="end"/>
        </w:r>
      </w:hyperlink>
    </w:p>
    <w:p w14:paraId="081674D1" w14:textId="371285BB" w:rsidR="00BF155C" w:rsidRDefault="0086368F">
      <w:pPr>
        <w:pStyle w:val="Innehll2"/>
        <w:rPr>
          <w:rFonts w:asciiTheme="minorHAnsi" w:eastAsiaTheme="minorEastAsia" w:hAnsiTheme="minorHAnsi"/>
          <w:sz w:val="22"/>
          <w:szCs w:val="22"/>
          <w:lang w:eastAsia="sv-SE"/>
        </w:rPr>
      </w:pPr>
      <w:hyperlink w:anchor="_Toc2001605" w:history="1">
        <w:r w:rsidR="00BF155C" w:rsidRPr="00E92067">
          <w:rPr>
            <w:rStyle w:val="Hyperlnk"/>
          </w:rPr>
          <w:t>E</w:t>
        </w:r>
        <w:r w:rsidR="00BF155C">
          <w:rPr>
            <w:rFonts w:asciiTheme="minorHAnsi" w:eastAsiaTheme="minorEastAsia" w:hAnsiTheme="minorHAnsi"/>
            <w:sz w:val="22"/>
            <w:szCs w:val="22"/>
            <w:lang w:eastAsia="sv-SE"/>
          </w:rPr>
          <w:tab/>
        </w:r>
        <w:r w:rsidR="00BF155C" w:rsidRPr="00E92067">
          <w:rPr>
            <w:rStyle w:val="Hyperlnk"/>
          </w:rPr>
          <w:t>EU-reglering och internationell rapportering</w:t>
        </w:r>
        <w:r w:rsidR="00BF155C">
          <w:rPr>
            <w:webHidden/>
          </w:rPr>
          <w:tab/>
        </w:r>
        <w:r w:rsidR="00BF155C">
          <w:rPr>
            <w:webHidden/>
          </w:rPr>
          <w:fldChar w:fldCharType="begin"/>
        </w:r>
        <w:r w:rsidR="00BF155C">
          <w:rPr>
            <w:webHidden/>
          </w:rPr>
          <w:instrText xml:space="preserve"> PAGEREF _Toc2001605 \h </w:instrText>
        </w:r>
        <w:r w:rsidR="00BF155C">
          <w:rPr>
            <w:webHidden/>
          </w:rPr>
        </w:r>
        <w:r w:rsidR="00BF155C">
          <w:rPr>
            <w:webHidden/>
          </w:rPr>
          <w:fldChar w:fldCharType="separate"/>
        </w:r>
        <w:r w:rsidR="00CB2FFE">
          <w:rPr>
            <w:webHidden/>
          </w:rPr>
          <w:t>14</w:t>
        </w:r>
        <w:r w:rsidR="00BF155C">
          <w:rPr>
            <w:webHidden/>
          </w:rPr>
          <w:fldChar w:fldCharType="end"/>
        </w:r>
      </w:hyperlink>
    </w:p>
    <w:p w14:paraId="608C2222" w14:textId="086BE5C6" w:rsidR="00BF155C" w:rsidRDefault="0086368F">
      <w:pPr>
        <w:pStyle w:val="Innehll2"/>
        <w:rPr>
          <w:rFonts w:asciiTheme="minorHAnsi" w:eastAsiaTheme="minorEastAsia" w:hAnsiTheme="minorHAnsi"/>
          <w:sz w:val="22"/>
          <w:szCs w:val="22"/>
          <w:lang w:eastAsia="sv-SE"/>
        </w:rPr>
      </w:pPr>
      <w:hyperlink w:anchor="_Toc2001606" w:history="1">
        <w:r w:rsidR="00BF155C" w:rsidRPr="00E92067">
          <w:rPr>
            <w:rStyle w:val="Hyperlnk"/>
          </w:rPr>
          <w:t>F</w:t>
        </w:r>
        <w:r w:rsidR="00BF155C">
          <w:rPr>
            <w:rFonts w:asciiTheme="minorHAnsi" w:eastAsiaTheme="minorEastAsia" w:hAnsiTheme="minorHAnsi"/>
            <w:sz w:val="22"/>
            <w:szCs w:val="22"/>
            <w:lang w:eastAsia="sv-SE"/>
          </w:rPr>
          <w:tab/>
        </w:r>
        <w:r w:rsidR="00BF155C" w:rsidRPr="00E92067">
          <w:rPr>
            <w:rStyle w:val="Hyperlnk"/>
          </w:rPr>
          <w:t>Historik</w:t>
        </w:r>
        <w:r w:rsidR="00BF155C">
          <w:rPr>
            <w:webHidden/>
          </w:rPr>
          <w:tab/>
        </w:r>
        <w:r w:rsidR="00BF155C">
          <w:rPr>
            <w:webHidden/>
          </w:rPr>
          <w:fldChar w:fldCharType="begin"/>
        </w:r>
        <w:r w:rsidR="00BF155C">
          <w:rPr>
            <w:webHidden/>
          </w:rPr>
          <w:instrText xml:space="preserve"> PAGEREF _Toc2001606 \h </w:instrText>
        </w:r>
        <w:r w:rsidR="00BF155C">
          <w:rPr>
            <w:webHidden/>
          </w:rPr>
        </w:r>
        <w:r w:rsidR="00BF155C">
          <w:rPr>
            <w:webHidden/>
          </w:rPr>
          <w:fldChar w:fldCharType="separate"/>
        </w:r>
        <w:r w:rsidR="00CB2FFE">
          <w:rPr>
            <w:webHidden/>
          </w:rPr>
          <w:t>14</w:t>
        </w:r>
        <w:r w:rsidR="00BF155C">
          <w:rPr>
            <w:webHidden/>
          </w:rPr>
          <w:fldChar w:fldCharType="end"/>
        </w:r>
      </w:hyperlink>
    </w:p>
    <w:p w14:paraId="7B0652A2" w14:textId="2FD1BEAC" w:rsidR="00BF155C" w:rsidRDefault="0086368F">
      <w:pPr>
        <w:pStyle w:val="Innehll2"/>
        <w:rPr>
          <w:rFonts w:asciiTheme="minorHAnsi" w:eastAsiaTheme="minorEastAsia" w:hAnsiTheme="minorHAnsi"/>
          <w:sz w:val="22"/>
          <w:szCs w:val="22"/>
          <w:lang w:eastAsia="sv-SE"/>
        </w:rPr>
      </w:pPr>
      <w:hyperlink w:anchor="_Toc2001607" w:history="1">
        <w:r w:rsidR="00BF155C" w:rsidRPr="00E92067">
          <w:rPr>
            <w:rStyle w:val="Hyperlnk"/>
          </w:rPr>
          <w:t>G</w:t>
        </w:r>
        <w:r w:rsidR="00BF155C">
          <w:rPr>
            <w:rFonts w:asciiTheme="minorHAnsi" w:eastAsiaTheme="minorEastAsia" w:hAnsiTheme="minorHAnsi"/>
            <w:sz w:val="22"/>
            <w:szCs w:val="22"/>
            <w:lang w:eastAsia="sv-SE"/>
          </w:rPr>
          <w:tab/>
        </w:r>
        <w:r w:rsidR="00BF155C" w:rsidRPr="00E92067">
          <w:rPr>
            <w:rStyle w:val="Hyperlnk"/>
          </w:rPr>
          <w:t>Kontaktuppgifter</w:t>
        </w:r>
        <w:r w:rsidR="00BF155C">
          <w:rPr>
            <w:webHidden/>
          </w:rPr>
          <w:tab/>
        </w:r>
        <w:r w:rsidR="00BF155C">
          <w:rPr>
            <w:webHidden/>
          </w:rPr>
          <w:fldChar w:fldCharType="begin"/>
        </w:r>
        <w:r w:rsidR="00BF155C">
          <w:rPr>
            <w:webHidden/>
          </w:rPr>
          <w:instrText xml:space="preserve"> PAGEREF _Toc2001607 \h </w:instrText>
        </w:r>
        <w:r w:rsidR="00BF155C">
          <w:rPr>
            <w:webHidden/>
          </w:rPr>
        </w:r>
        <w:r w:rsidR="00BF155C">
          <w:rPr>
            <w:webHidden/>
          </w:rPr>
          <w:fldChar w:fldCharType="separate"/>
        </w:r>
        <w:r w:rsidR="00CB2FFE">
          <w:rPr>
            <w:webHidden/>
          </w:rPr>
          <w:t>14</w:t>
        </w:r>
        <w:r w:rsidR="00BF155C">
          <w:rPr>
            <w:webHidden/>
          </w:rPr>
          <w:fldChar w:fldCharType="end"/>
        </w:r>
      </w:hyperlink>
    </w:p>
    <w:p w14:paraId="2E6B881A" w14:textId="1904E557" w:rsidR="0074142D" w:rsidRDefault="00DB3B2F" w:rsidP="0026623A">
      <w:r>
        <w:fldChar w:fldCharType="end"/>
      </w:r>
    </w:p>
    <w:p w14:paraId="6E5128EE" w14:textId="77777777" w:rsidR="002F7EEC" w:rsidRPr="00FF0CB7" w:rsidRDefault="003E2BDB" w:rsidP="00E749FD">
      <w:pPr>
        <w:pStyle w:val="Rubrik"/>
        <w:spacing w:before="240"/>
        <w:rPr>
          <w:rFonts w:ascii="Arial" w:hAnsi="Arial" w:cs="Arial"/>
          <w:b/>
          <w:sz w:val="28"/>
          <w:szCs w:val="28"/>
        </w:rPr>
      </w:pPr>
      <w:bookmarkStart w:id="15" w:name="_Toc467250852"/>
      <w:bookmarkStart w:id="16" w:name="_Toc467251684"/>
      <w:bookmarkStart w:id="17" w:name="_Toc467482221"/>
      <w:bookmarkStart w:id="18" w:name="_Toc2001565"/>
      <w:r w:rsidRPr="00FF0CB7">
        <w:rPr>
          <w:rFonts w:ascii="Arial" w:hAnsi="Arial" w:cs="Arial"/>
          <w:b/>
          <w:sz w:val="28"/>
          <w:szCs w:val="28"/>
        </w:rPr>
        <w:lastRenderedPageBreak/>
        <w:t>Statistikens kvalitet</w:t>
      </w:r>
      <w:bookmarkEnd w:id="15"/>
      <w:bookmarkEnd w:id="16"/>
      <w:bookmarkEnd w:id="17"/>
      <w:bookmarkEnd w:id="18"/>
    </w:p>
    <w:p w14:paraId="3A9C2A59" w14:textId="77777777" w:rsidR="00561468" w:rsidRPr="00FF0CB7" w:rsidRDefault="00F7495F" w:rsidP="0077704B">
      <w:pPr>
        <w:pStyle w:val="Rubrik1"/>
        <w:ind w:left="680" w:hanging="680"/>
        <w:rPr>
          <w:bCs w:val="0"/>
          <w:sz w:val="24"/>
          <w:szCs w:val="24"/>
        </w:rPr>
      </w:pPr>
      <w:bookmarkStart w:id="19" w:name="_Toc467250853"/>
      <w:bookmarkStart w:id="20" w:name="_Toc467251685"/>
      <w:bookmarkStart w:id="21" w:name="_Toc467482222"/>
      <w:bookmarkStart w:id="22" w:name="_Toc2001566"/>
      <w:r w:rsidRPr="00FF0CB7">
        <w:rPr>
          <w:sz w:val="24"/>
          <w:szCs w:val="24"/>
        </w:rPr>
        <w:t>1</w:t>
      </w:r>
      <w:r w:rsidR="00561468" w:rsidRPr="00FF0CB7">
        <w:rPr>
          <w:sz w:val="24"/>
          <w:szCs w:val="24"/>
        </w:rPr>
        <w:tab/>
      </w:r>
      <w:bookmarkEnd w:id="0"/>
      <w:bookmarkEnd w:id="1"/>
      <w:bookmarkEnd w:id="2"/>
      <w:bookmarkEnd w:id="3"/>
      <w:bookmarkEnd w:id="4"/>
      <w:bookmarkEnd w:id="5"/>
      <w:bookmarkEnd w:id="6"/>
      <w:bookmarkEnd w:id="7"/>
      <w:bookmarkEnd w:id="8"/>
      <w:r w:rsidRPr="00FF0CB7">
        <w:rPr>
          <w:bCs w:val="0"/>
          <w:sz w:val="24"/>
          <w:szCs w:val="24"/>
        </w:rPr>
        <w:t>Relevans</w:t>
      </w:r>
      <w:bookmarkEnd w:id="9"/>
      <w:bookmarkEnd w:id="19"/>
      <w:bookmarkEnd w:id="20"/>
      <w:bookmarkEnd w:id="21"/>
      <w:bookmarkEnd w:id="22"/>
    </w:p>
    <w:p w14:paraId="141163CA" w14:textId="299DBAEE" w:rsidR="00582C96" w:rsidRPr="00CC64BF" w:rsidRDefault="00B85987" w:rsidP="00CC64BF">
      <w:r>
        <w:t>Sedan Sveriges inträde i E</w:t>
      </w:r>
      <w:r w:rsidR="001C6FC7">
        <w:t xml:space="preserve">uropeiska </w:t>
      </w:r>
      <w:r w:rsidR="000F4CD4">
        <w:t>unionen (EU)</w:t>
      </w:r>
      <w:r w:rsidR="001C6FC7">
        <w:t xml:space="preserve"> 1995 finns krav på att årligen </w:t>
      </w:r>
      <w:r>
        <w:t xml:space="preserve">redovisa </w:t>
      </w:r>
      <w:r w:rsidR="001C6FC7">
        <w:t>ekonomiska förhållanden för svenska jordbruksföretag till EU-kommissionen. Detta görs genom en urvalsundersökning bland svenska jordbruksfö</w:t>
      </w:r>
      <w:r w:rsidR="00CC64BF">
        <w:t xml:space="preserve">retag. Statistiken används </w:t>
      </w:r>
      <w:r w:rsidR="001C6FC7">
        <w:t xml:space="preserve">i stor utsträckning </w:t>
      </w:r>
      <w:r w:rsidR="00CC64BF">
        <w:t xml:space="preserve">även </w:t>
      </w:r>
      <w:r w:rsidR="001C6FC7">
        <w:t xml:space="preserve">nationellt. Liknande undersökningar har funnits i Sverige </w:t>
      </w:r>
      <w:r w:rsidR="00CC64BF">
        <w:t>sedan 19</w:t>
      </w:r>
      <w:r w:rsidR="000F4CD4">
        <w:t>12</w:t>
      </w:r>
      <w:r w:rsidR="00CC64BF">
        <w:t xml:space="preserve"> och har utförts av </w:t>
      </w:r>
      <w:r w:rsidR="001C6FC7">
        <w:t xml:space="preserve">SCB </w:t>
      </w:r>
      <w:r w:rsidR="00CC64BF">
        <w:t xml:space="preserve">sedan </w:t>
      </w:r>
      <w:r w:rsidR="001C6FC7">
        <w:t>19</w:t>
      </w:r>
      <w:r w:rsidR="001C6FC7" w:rsidRPr="00F46E57">
        <w:t>76</w:t>
      </w:r>
      <w:r w:rsidR="00CC64BF" w:rsidRPr="00F46E57">
        <w:t>,</w:t>
      </w:r>
      <w:r w:rsidR="001C6FC7" w:rsidRPr="00F46E57">
        <w:t xml:space="preserve"> </w:t>
      </w:r>
      <w:r w:rsidR="00CC64BF" w:rsidRPr="00F46E57">
        <w:t xml:space="preserve">då </w:t>
      </w:r>
      <w:r w:rsidR="00304163" w:rsidRPr="00F46E57">
        <w:t xml:space="preserve">undersökningen </w:t>
      </w:r>
      <w:r w:rsidR="00CC64BF" w:rsidRPr="00F46E57">
        <w:t xml:space="preserve">togs över </w:t>
      </w:r>
      <w:r w:rsidR="001C6FC7" w:rsidRPr="00F46E57">
        <w:t>från dåvarande Lantbruksstyrelsen.</w:t>
      </w:r>
      <w:r w:rsidR="00733427">
        <w:t xml:space="preserve"> Numera</w:t>
      </w:r>
      <w:r w:rsidR="00F46E57" w:rsidRPr="00F46E57">
        <w:t xml:space="preserve"> </w:t>
      </w:r>
      <w:r w:rsidR="00CC64BF">
        <w:t>utför</w:t>
      </w:r>
      <w:r w:rsidR="00C61502">
        <w:t>s</w:t>
      </w:r>
      <w:r w:rsidR="00CC64BF">
        <w:t xml:space="preserve"> undersökningen av Jordbruksverket.</w:t>
      </w:r>
    </w:p>
    <w:p w14:paraId="7A2DEC7C" w14:textId="77777777" w:rsidR="00561468" w:rsidRPr="005A484A" w:rsidRDefault="00FA5E96" w:rsidP="0077704B">
      <w:pPr>
        <w:pStyle w:val="Rubrik2"/>
        <w:spacing w:before="240" w:after="40"/>
        <w:ind w:left="680" w:hanging="680"/>
        <w:rPr>
          <w:rStyle w:val="Rubrik2Char"/>
          <w:b/>
          <w:szCs w:val="20"/>
        </w:rPr>
      </w:pPr>
      <w:bookmarkStart w:id="23" w:name="_Toc467250854"/>
      <w:bookmarkStart w:id="24" w:name="_Toc467251686"/>
      <w:bookmarkStart w:id="25" w:name="_Toc467482223"/>
      <w:bookmarkStart w:id="26" w:name="_Toc2001567"/>
      <w:r w:rsidRPr="005A484A">
        <w:rPr>
          <w:szCs w:val="20"/>
        </w:rPr>
        <w:t>1.1</w:t>
      </w:r>
      <w:r w:rsidRPr="005A484A">
        <w:rPr>
          <w:szCs w:val="20"/>
        </w:rPr>
        <w:tab/>
      </w:r>
      <w:r w:rsidR="00FC1132" w:rsidRPr="005A484A">
        <w:rPr>
          <w:rStyle w:val="Rubrik2Char"/>
          <w:b/>
          <w:szCs w:val="20"/>
        </w:rPr>
        <w:t>Ändamål och informationsbehov</w:t>
      </w:r>
      <w:bookmarkEnd w:id="23"/>
      <w:bookmarkEnd w:id="24"/>
      <w:bookmarkEnd w:id="25"/>
      <w:bookmarkEnd w:id="26"/>
    </w:p>
    <w:p w14:paraId="4ED6426A" w14:textId="77777777" w:rsidR="00F7495F" w:rsidRPr="005A484A" w:rsidRDefault="00765AD6" w:rsidP="0077704B">
      <w:pPr>
        <w:pStyle w:val="Rubrik3"/>
        <w:spacing w:before="240" w:after="40"/>
        <w:ind w:left="680" w:hanging="680"/>
        <w:rPr>
          <w:szCs w:val="18"/>
        </w:rPr>
      </w:pPr>
      <w:bookmarkStart w:id="27" w:name="_Toc467250855"/>
      <w:bookmarkStart w:id="28" w:name="_Toc467251687"/>
      <w:bookmarkStart w:id="29" w:name="_Toc467482224"/>
      <w:bookmarkStart w:id="30" w:name="_Toc2001568"/>
      <w:bookmarkStart w:id="31" w:name="_Toc449949577"/>
      <w:bookmarkStart w:id="32" w:name="_Toc92287717"/>
      <w:bookmarkStart w:id="33" w:name="_Toc92298977"/>
      <w:bookmarkStart w:id="34" w:name="_Toc92299132"/>
      <w:bookmarkStart w:id="35" w:name="_Toc92299173"/>
      <w:bookmarkStart w:id="36" w:name="_Toc92299288"/>
      <w:bookmarkStart w:id="37" w:name="_Toc92299432"/>
      <w:bookmarkStart w:id="38" w:name="_Toc92299473"/>
      <w:bookmarkStart w:id="39" w:name="_Toc418595698"/>
      <w:bookmarkStart w:id="40" w:name="_Toc430277560"/>
      <w:r w:rsidRPr="005A484A">
        <w:rPr>
          <w:szCs w:val="18"/>
        </w:rPr>
        <w:t>1.1.1</w:t>
      </w:r>
      <w:r w:rsidRPr="005A484A">
        <w:rPr>
          <w:szCs w:val="18"/>
        </w:rPr>
        <w:tab/>
      </w:r>
      <w:r w:rsidR="00FC1132" w:rsidRPr="005A484A">
        <w:rPr>
          <w:szCs w:val="18"/>
        </w:rPr>
        <w:t>Statistikens ändamål</w:t>
      </w:r>
      <w:bookmarkEnd w:id="27"/>
      <w:bookmarkEnd w:id="28"/>
      <w:bookmarkEnd w:id="29"/>
      <w:bookmarkEnd w:id="30"/>
    </w:p>
    <w:p w14:paraId="0CBEAF9B" w14:textId="77777777" w:rsidR="00F7495F" w:rsidRPr="00E00610" w:rsidRDefault="00E00610" w:rsidP="00E00610">
      <w:pPr>
        <w:tabs>
          <w:tab w:val="left" w:pos="851"/>
        </w:tabs>
      </w:pPr>
      <w:r>
        <w:t xml:space="preserve">Statistiken visar utvecklingen av jordbruksföretagens inkomst- och lönsamhetsförhållanden enligt företagsekonomiska principer. </w:t>
      </w:r>
      <w:r w:rsidR="005950BF">
        <w:t xml:space="preserve">Benämningen på undersökningen, som är </w:t>
      </w:r>
      <w:r w:rsidR="00304163">
        <w:t xml:space="preserve">en </w:t>
      </w:r>
      <w:r w:rsidR="005950BF">
        <w:t>urvalsundersökning</w:t>
      </w:r>
      <w:r>
        <w:t xml:space="preserve">, är Jordbruksekonomiska undersökningen (JEU). </w:t>
      </w:r>
    </w:p>
    <w:p w14:paraId="0A6391A6" w14:textId="77777777" w:rsidR="00F7495F" w:rsidRPr="00EA5924" w:rsidRDefault="00765AD6" w:rsidP="0077704B">
      <w:pPr>
        <w:pStyle w:val="Rubrik3"/>
        <w:spacing w:before="240" w:after="40"/>
        <w:ind w:left="680" w:hanging="680"/>
        <w:rPr>
          <w:szCs w:val="18"/>
        </w:rPr>
      </w:pPr>
      <w:bookmarkStart w:id="41" w:name="_Toc467250856"/>
      <w:bookmarkStart w:id="42" w:name="_Toc467251688"/>
      <w:bookmarkStart w:id="43" w:name="_Toc467482225"/>
      <w:bookmarkStart w:id="44" w:name="_Toc2001569"/>
      <w:r w:rsidRPr="00EA5924">
        <w:rPr>
          <w:szCs w:val="18"/>
        </w:rPr>
        <w:t>1.1.2</w:t>
      </w:r>
      <w:r w:rsidRPr="00EA5924">
        <w:rPr>
          <w:szCs w:val="18"/>
        </w:rPr>
        <w:tab/>
      </w:r>
      <w:r w:rsidR="00FC1132" w:rsidRPr="002C40B1">
        <w:rPr>
          <w:szCs w:val="18"/>
        </w:rPr>
        <w:t>Statistikanvändares informationsbehov</w:t>
      </w:r>
      <w:bookmarkEnd w:id="41"/>
      <w:bookmarkEnd w:id="42"/>
      <w:bookmarkEnd w:id="43"/>
      <w:bookmarkEnd w:id="44"/>
    </w:p>
    <w:p w14:paraId="28D73398" w14:textId="1B3111A4" w:rsidR="00E00610" w:rsidRDefault="00443D03" w:rsidP="002C40B1">
      <w:pPr>
        <w:autoSpaceDE w:val="0"/>
        <w:autoSpaceDN w:val="0"/>
        <w:adjustRightInd w:val="0"/>
        <w:spacing w:after="0" w:line="240" w:lineRule="auto"/>
      </w:pPr>
      <w:r w:rsidRPr="002C40B1">
        <w:t xml:space="preserve">Inom </w:t>
      </w:r>
      <w:r w:rsidR="00E00610" w:rsidRPr="002C40B1">
        <w:t>EU</w:t>
      </w:r>
      <w:r w:rsidRPr="002C40B1">
        <w:t xml:space="preserve"> </w:t>
      </w:r>
      <w:r w:rsidR="00B85987">
        <w:t xml:space="preserve">finns </w:t>
      </w:r>
      <w:r w:rsidRPr="002C40B1">
        <w:t>förordning nr 7</w:t>
      </w:r>
      <w:r w:rsidR="002C40B1">
        <w:t xml:space="preserve">9/65/EEG </w:t>
      </w:r>
      <w:r w:rsidRPr="002C40B1">
        <w:t xml:space="preserve">av den 15 juni 1965 </w:t>
      </w:r>
      <w:r w:rsidRPr="002C40B1">
        <w:rPr>
          <w:rFonts w:cs="TimesNewRomanPSMT-Identity-H"/>
        </w:rPr>
        <w:t>om upprättandet av ett informationssystem för jordbruksföretagens redovisningsuppgifter för att belysa inkomstförhållanden och andra ekonomiska</w:t>
      </w:r>
      <w:r w:rsidR="002C40B1" w:rsidRPr="002C40B1">
        <w:rPr>
          <w:rFonts w:cs="TimesNewRomanPSMT-Identity-H"/>
        </w:rPr>
        <w:t xml:space="preserve"> </w:t>
      </w:r>
      <w:r w:rsidRPr="002C40B1">
        <w:rPr>
          <w:rFonts w:cs="TimesNewRomanPSMT-Identity-H"/>
        </w:rPr>
        <w:t>förhållanden i jordbruksföretag inom</w:t>
      </w:r>
      <w:r w:rsidR="002C40B1" w:rsidRPr="002C40B1">
        <w:rPr>
          <w:rFonts w:cs="TimesNewRomanPSMT-Identity-H"/>
        </w:rPr>
        <w:t xml:space="preserve"> </w:t>
      </w:r>
      <w:r w:rsidR="00B85987">
        <w:rPr>
          <w:rFonts w:cs="TimesNewRomanPSMT-Identity-H"/>
        </w:rPr>
        <w:t>Europeiska</w:t>
      </w:r>
      <w:r w:rsidRPr="002C40B1">
        <w:rPr>
          <w:rFonts w:cs="TimesNewRomanPSMT-Identity-H"/>
        </w:rPr>
        <w:t xml:space="preserve"> gemenskapen</w:t>
      </w:r>
      <w:r w:rsidR="002C40B1">
        <w:rPr>
          <w:rFonts w:cs="TimesNewRomanPSMT-Identity-H"/>
        </w:rPr>
        <w:t>. Denna förordning har sedan modifierats och utvidgats till förordning (EC) nr 1217/2009 av den 30 juni 2009</w:t>
      </w:r>
      <w:r w:rsidR="00A4009E">
        <w:rPr>
          <w:rFonts w:cs="TimesNewRomanPSMT-Identity-H"/>
        </w:rPr>
        <w:t xml:space="preserve"> samt förordningar (EC) 1198/2014 och (EC) nr 220/2015</w:t>
      </w:r>
      <w:r w:rsidR="002C40B1">
        <w:rPr>
          <w:rFonts w:cs="TimesNewRomanPSMT-Identity-H"/>
        </w:rPr>
        <w:t>.</w:t>
      </w:r>
      <w:r w:rsidRPr="002C40B1">
        <w:t xml:space="preserve"> </w:t>
      </w:r>
      <w:r w:rsidR="002C40B1">
        <w:t>Härmed</w:t>
      </w:r>
      <w:r w:rsidR="00E00610" w:rsidRPr="002C40B1">
        <w:t xml:space="preserve"> kräv</w:t>
      </w:r>
      <w:r w:rsidR="002C40B1">
        <w:t>s</w:t>
      </w:r>
      <w:r w:rsidR="00E00610" w:rsidRPr="002C40B1">
        <w:t xml:space="preserve"> </w:t>
      </w:r>
      <w:r w:rsidR="002C40B1">
        <w:t xml:space="preserve">av alla EU-länder </w:t>
      </w:r>
      <w:r w:rsidR="00E00610" w:rsidRPr="002C40B1">
        <w:t>en årlig r</w:t>
      </w:r>
      <w:r w:rsidR="00B35B52">
        <w:t>apportering</w:t>
      </w:r>
      <w:r w:rsidR="00E00610" w:rsidRPr="002C40B1">
        <w:t xml:space="preserve"> av </w:t>
      </w:r>
      <w:r w:rsidR="00B35B52">
        <w:t>redovisningsuppgifter</w:t>
      </w:r>
      <w:r w:rsidR="00B35B52" w:rsidRPr="002C40B1">
        <w:t xml:space="preserve"> </w:t>
      </w:r>
      <w:r w:rsidR="00B35B52">
        <w:t xml:space="preserve">för ett urval av </w:t>
      </w:r>
      <w:r w:rsidR="002C40B1">
        <w:t xml:space="preserve">jordbruksföretag </w:t>
      </w:r>
      <w:r w:rsidR="00E00610" w:rsidRPr="002C40B1">
        <w:t xml:space="preserve">till det s.k. FADN-systemet </w:t>
      </w:r>
      <w:r w:rsidR="00E00610" w:rsidRPr="00EA5924">
        <w:t xml:space="preserve">(Farm </w:t>
      </w:r>
      <w:proofErr w:type="spellStart"/>
      <w:r w:rsidR="00E00610" w:rsidRPr="00EA5924">
        <w:t>Accountancy</w:t>
      </w:r>
      <w:proofErr w:type="spellEnd"/>
      <w:r w:rsidR="00E00610" w:rsidRPr="00EA5924">
        <w:t xml:space="preserve"> Data </w:t>
      </w:r>
      <w:proofErr w:type="spellStart"/>
      <w:r w:rsidR="00E00610" w:rsidRPr="00EA5924">
        <w:t>Network</w:t>
      </w:r>
      <w:proofErr w:type="spellEnd"/>
      <w:r w:rsidR="00E00610" w:rsidRPr="002C40B1">
        <w:t>).</w:t>
      </w:r>
      <w:r w:rsidR="002C40B1">
        <w:t xml:space="preserve"> </w:t>
      </w:r>
      <w:r w:rsidR="00360EFE">
        <w:t>FADN är ett betydande verktyg för utvärdering av jordbrukspolitiken inom EU</w:t>
      </w:r>
      <w:r w:rsidR="00B85987">
        <w:t xml:space="preserve">. </w:t>
      </w:r>
      <w:r w:rsidR="00360EFE">
        <w:t xml:space="preserve">Sverige </w:t>
      </w:r>
      <w:r w:rsidR="00B85987">
        <w:t xml:space="preserve">använder </w:t>
      </w:r>
      <w:r w:rsidR="00360EFE">
        <w:t>JEU-data</w:t>
      </w:r>
      <w:r w:rsidR="00B85987">
        <w:t xml:space="preserve"> i den årliga rapporteringen till FADN</w:t>
      </w:r>
      <w:r w:rsidR="00360EFE">
        <w:t>.</w:t>
      </w:r>
    </w:p>
    <w:p w14:paraId="62E32116" w14:textId="77777777" w:rsidR="002C40B1" w:rsidRPr="002C40B1" w:rsidRDefault="002C40B1" w:rsidP="002C40B1">
      <w:pPr>
        <w:autoSpaceDE w:val="0"/>
        <w:autoSpaceDN w:val="0"/>
        <w:adjustRightInd w:val="0"/>
        <w:spacing w:after="0" w:line="240" w:lineRule="auto"/>
      </w:pPr>
    </w:p>
    <w:p w14:paraId="3E794526" w14:textId="5D40BD9A" w:rsidR="00582C96" w:rsidRPr="00443D03" w:rsidRDefault="00360EFE" w:rsidP="00E00610">
      <w:r>
        <w:t>Inom Sverige används JEU-data som u</w:t>
      </w:r>
      <w:r w:rsidR="00E00610" w:rsidRPr="00443D03">
        <w:t>nderlag för jordbrukspolitiska bedömningar, kalkyler och utredningar</w:t>
      </w:r>
      <w:r>
        <w:t xml:space="preserve"> av Näringsdepartementet, Jordbruksverket och Livsmedelsekonomiska institutet</w:t>
      </w:r>
      <w:r w:rsidR="00E00610" w:rsidRPr="00443D03">
        <w:t>.</w:t>
      </w:r>
      <w:r>
        <w:t xml:space="preserve"> </w:t>
      </w:r>
      <w:r w:rsidR="00E00610" w:rsidRPr="00443D03">
        <w:t>Länsstyrelserna</w:t>
      </w:r>
      <w:r>
        <w:t xml:space="preserve"> är också betydande användare för</w:t>
      </w:r>
      <w:r w:rsidR="00E00610" w:rsidRPr="00443D03">
        <w:t xml:space="preserve"> planering och kalkylering.</w:t>
      </w:r>
      <w:r>
        <w:t xml:space="preserve"> </w:t>
      </w:r>
      <w:r w:rsidR="00E00610" w:rsidRPr="00443D03">
        <w:t>Sveriges lantbruksuniversitet</w:t>
      </w:r>
      <w:r>
        <w:t xml:space="preserve"> använder data f</w:t>
      </w:r>
      <w:r w:rsidR="00E00610" w:rsidRPr="00443D03">
        <w:t>ör forskning och analyser.</w:t>
      </w:r>
      <w:r w:rsidR="00B85987">
        <w:t xml:space="preserve"> Inom svenskt lantbruk används JEU-data för analyser och kalkylering av ett flertal organisationer, bland annat Lantbrukarnas </w:t>
      </w:r>
      <w:r w:rsidR="008E1111">
        <w:t>R</w:t>
      </w:r>
      <w:r w:rsidR="00B85987">
        <w:t xml:space="preserve">iksförbund. </w:t>
      </w:r>
    </w:p>
    <w:p w14:paraId="4D5E9BD2" w14:textId="77777777" w:rsidR="002D7622" w:rsidRPr="005A484A" w:rsidRDefault="00FA5E96" w:rsidP="0077704B">
      <w:pPr>
        <w:pStyle w:val="Rubrik2"/>
        <w:spacing w:before="240" w:after="40"/>
        <w:ind w:left="680" w:hanging="680"/>
        <w:rPr>
          <w:szCs w:val="20"/>
        </w:rPr>
      </w:pPr>
      <w:bookmarkStart w:id="45" w:name="_Toc467250857"/>
      <w:bookmarkStart w:id="46" w:name="_Toc467251689"/>
      <w:bookmarkStart w:id="47" w:name="_Toc467482226"/>
      <w:bookmarkStart w:id="48" w:name="_Toc2001570"/>
      <w:r w:rsidRPr="005A484A">
        <w:rPr>
          <w:szCs w:val="20"/>
        </w:rPr>
        <w:t>1.2</w:t>
      </w:r>
      <w:r w:rsidRPr="005A484A">
        <w:rPr>
          <w:szCs w:val="20"/>
        </w:rPr>
        <w:tab/>
      </w:r>
      <w:r w:rsidR="00FC1132" w:rsidRPr="005A484A">
        <w:rPr>
          <w:szCs w:val="20"/>
        </w:rPr>
        <w:t>Statistikens innehåll</w:t>
      </w:r>
      <w:bookmarkEnd w:id="31"/>
      <w:bookmarkEnd w:id="45"/>
      <w:bookmarkEnd w:id="46"/>
      <w:bookmarkEnd w:id="47"/>
      <w:bookmarkEnd w:id="48"/>
    </w:p>
    <w:p w14:paraId="418C9909" w14:textId="4DE56B65" w:rsidR="001D7B6A" w:rsidRPr="00AF64D6" w:rsidRDefault="00B35B52" w:rsidP="00AF64D6">
      <w:r>
        <w:t>De s</w:t>
      </w:r>
      <w:r w:rsidR="00AF64D6" w:rsidRPr="00183E88">
        <w:t>tatisti</w:t>
      </w:r>
      <w:r>
        <w:t>s</w:t>
      </w:r>
      <w:r w:rsidR="00AF64D6" w:rsidRPr="00183E88">
        <w:t>k</w:t>
      </w:r>
      <w:r>
        <w:t xml:space="preserve">a målstorheterna avser </w:t>
      </w:r>
      <w:r w:rsidR="00622DE6">
        <w:t>genomsnittliga värden för</w:t>
      </w:r>
      <w:r w:rsidR="00AF64D6" w:rsidRPr="00183E88">
        <w:t xml:space="preserve"> ett antal </w:t>
      </w:r>
      <w:r w:rsidR="000F4CD4">
        <w:t xml:space="preserve">           </w:t>
      </w:r>
      <w:r w:rsidR="00AF64D6" w:rsidRPr="00183E88">
        <w:t>in</w:t>
      </w:r>
      <w:r w:rsidR="000F4CD4">
        <w:t>täkts-</w:t>
      </w:r>
      <w:r w:rsidR="00AF64D6" w:rsidRPr="00183E88">
        <w:t>, kostnads- och resultatslag</w:t>
      </w:r>
      <w:r w:rsidR="00AF64D6">
        <w:t xml:space="preserve"> efter driftsinriktning</w:t>
      </w:r>
      <w:r w:rsidR="00AF64D6" w:rsidRPr="00183E88">
        <w:t xml:space="preserve"> och för olika storleksgrupper och </w:t>
      </w:r>
      <w:r w:rsidR="00151DC1">
        <w:t xml:space="preserve">geografisk </w:t>
      </w:r>
      <w:r w:rsidR="00AF64D6" w:rsidRPr="00183E88">
        <w:t>belägenhet</w:t>
      </w:r>
      <w:r w:rsidR="00AF64D6">
        <w:t>,</w:t>
      </w:r>
      <w:r w:rsidR="00AF64D6" w:rsidRPr="00183E88">
        <w:t xml:space="preserve"> enligt både svensk typklassificering och EU:s typklassificering.</w:t>
      </w:r>
      <w:bookmarkEnd w:id="32"/>
      <w:bookmarkEnd w:id="33"/>
      <w:bookmarkEnd w:id="34"/>
      <w:bookmarkEnd w:id="35"/>
      <w:bookmarkEnd w:id="36"/>
      <w:bookmarkEnd w:id="37"/>
      <w:bookmarkEnd w:id="38"/>
      <w:bookmarkEnd w:id="39"/>
      <w:bookmarkEnd w:id="40"/>
    </w:p>
    <w:p w14:paraId="49D7CEA1" w14:textId="77777777" w:rsidR="00765AD6" w:rsidRPr="005A484A" w:rsidRDefault="00765AD6" w:rsidP="0077704B">
      <w:pPr>
        <w:pStyle w:val="Rubrik3"/>
        <w:overflowPunct w:val="0"/>
        <w:autoSpaceDE w:val="0"/>
        <w:autoSpaceDN w:val="0"/>
        <w:adjustRightInd w:val="0"/>
        <w:spacing w:before="240" w:after="40"/>
        <w:ind w:left="680" w:hanging="680"/>
        <w:textAlignment w:val="baseline"/>
        <w:rPr>
          <w:szCs w:val="18"/>
        </w:rPr>
      </w:pPr>
      <w:bookmarkStart w:id="49" w:name="_Toc457985731"/>
      <w:bookmarkStart w:id="50" w:name="_Toc458005264"/>
      <w:bookmarkStart w:id="51" w:name="_Toc467255598"/>
      <w:bookmarkStart w:id="52" w:name="_Toc467482227"/>
      <w:bookmarkStart w:id="53" w:name="_Toc2001571"/>
      <w:r w:rsidRPr="005A484A">
        <w:rPr>
          <w:szCs w:val="18"/>
        </w:rPr>
        <w:t>1.2.1</w:t>
      </w:r>
      <w:r w:rsidRPr="005A484A">
        <w:rPr>
          <w:szCs w:val="18"/>
        </w:rPr>
        <w:tab/>
        <w:t>Objekt och population</w:t>
      </w:r>
      <w:bookmarkEnd w:id="49"/>
      <w:bookmarkEnd w:id="50"/>
      <w:bookmarkEnd w:id="51"/>
      <w:bookmarkEnd w:id="52"/>
      <w:bookmarkEnd w:id="53"/>
    </w:p>
    <w:p w14:paraId="36425D45" w14:textId="52FE224C" w:rsidR="00A633C2" w:rsidRDefault="00CF66E1" w:rsidP="00C41E23">
      <w:r>
        <w:t>Mål</w:t>
      </w:r>
      <w:r w:rsidR="00C41E23" w:rsidRPr="00547596">
        <w:t xml:space="preserve">populationen i JEU utgörs av jordbruksföretag som ägs eller arrenderas av </w:t>
      </w:r>
      <w:r w:rsidR="0094316E">
        <w:t xml:space="preserve">en </w:t>
      </w:r>
      <w:r w:rsidR="00C41E23" w:rsidRPr="00547596">
        <w:t>enskild fysisk person eller fysiska personer i samverkan (s.k. enkelt bolag) eller som är handelsbolag (eller motsvarande) e</w:t>
      </w:r>
      <w:r>
        <w:t>ller aktiebolag. Inom jordbruks</w:t>
      </w:r>
      <w:r w:rsidR="00C41E23" w:rsidRPr="00547596">
        <w:t>statistiken avses med jordbruksföretag</w:t>
      </w:r>
      <w:r w:rsidR="00153753">
        <w:t>, som här utgör målobjekt,</w:t>
      </w:r>
      <w:r w:rsidR="00C41E23" w:rsidRPr="00547596">
        <w:t xml:space="preserve"> vanligen verksamhet inom jordbruk, husdjursskötsel samt frukt- och trädgårdsodling som bedrivs under en och samma driftsledning. Företag som ägs </w:t>
      </w:r>
      <w:r>
        <w:t>o</w:t>
      </w:r>
      <w:r w:rsidR="004D6145">
        <w:t>ch drivs av stat och kommun</w:t>
      </w:r>
      <w:r w:rsidR="00C41E23" w:rsidRPr="00547596">
        <w:t xml:space="preserve"> tillhör inte </w:t>
      </w:r>
      <w:proofErr w:type="spellStart"/>
      <w:r w:rsidR="00C41E23" w:rsidRPr="00547596">
        <w:t>JEU:s</w:t>
      </w:r>
      <w:proofErr w:type="spellEnd"/>
      <w:r w:rsidR="00C41E23" w:rsidRPr="00547596">
        <w:t xml:space="preserve"> målpopulation. </w:t>
      </w:r>
      <w:r w:rsidR="004D6145">
        <w:t xml:space="preserve">Gårdar med inriktning fjäderfä är också exkluderade. </w:t>
      </w:r>
      <w:r w:rsidR="00C41E23" w:rsidRPr="00547596">
        <w:t>Vidare ska företagen vara av minst storleksklass 5, d</w:t>
      </w:r>
      <w:r w:rsidR="008E1111">
        <w:t>v</w:t>
      </w:r>
      <w:r w:rsidR="00C41E23" w:rsidRPr="00547596">
        <w:t xml:space="preserve">s. företag med standardiserade intäkter som </w:t>
      </w:r>
      <w:r w:rsidR="0094316E">
        <w:t>är minst</w:t>
      </w:r>
      <w:r w:rsidR="00C41E23" w:rsidRPr="00547596">
        <w:t xml:space="preserve"> 15 000 </w:t>
      </w:r>
      <w:r w:rsidR="008E1111">
        <w:t>e</w:t>
      </w:r>
      <w:r w:rsidR="00C41E23" w:rsidRPr="00547596">
        <w:t xml:space="preserve">uro. </w:t>
      </w:r>
      <w:r w:rsidR="00C41E23" w:rsidRPr="005E0CA2">
        <w:rPr>
          <w:i/>
        </w:rPr>
        <w:t>Standardiserade intäkter</w:t>
      </w:r>
      <w:r w:rsidR="00C41E23" w:rsidRPr="00547596">
        <w:t xml:space="preserve"> är ett storleksmått på jordbruksföretag som används inom EU och som utgår från standardiserade intäkter (exklusive stöd) för olika produktionsgrenar.</w:t>
      </w:r>
      <w:r>
        <w:t xml:space="preserve"> </w:t>
      </w:r>
    </w:p>
    <w:p w14:paraId="771EC097" w14:textId="1B87728D" w:rsidR="00C41E23" w:rsidRDefault="00CF66E1" w:rsidP="00C41E23">
      <w:r>
        <w:t>Intressepopulationen (den ideala populationen) utgörs av alla jordbruksföretag i de drifts</w:t>
      </w:r>
      <w:r w:rsidR="00597B5F">
        <w:t>former som nämnts och sammanfall</w:t>
      </w:r>
      <w:r>
        <w:t xml:space="preserve">er i stort med målpopulationen. </w:t>
      </w:r>
    </w:p>
    <w:p w14:paraId="71CF5358" w14:textId="55D914E8" w:rsidR="00CC64BF" w:rsidRPr="00547596" w:rsidRDefault="00CC64BF" w:rsidP="00C41E23">
      <w:r w:rsidRPr="00547596">
        <w:t>Rampopulationen</w:t>
      </w:r>
      <w:r w:rsidR="00364B58">
        <w:t xml:space="preserve">, med de driftsformer och den storleksklass som gäller för </w:t>
      </w:r>
      <w:r w:rsidR="00364B58" w:rsidRPr="0053711F">
        <w:t>målpopulationen och som ingår i Lantbruksregistret,</w:t>
      </w:r>
      <w:r w:rsidR="0000716F" w:rsidRPr="0053711F">
        <w:t xml:space="preserve"> bestod vid urvalstidpunkten</w:t>
      </w:r>
      <w:r w:rsidRPr="0053711F">
        <w:t xml:space="preserve"> av </w:t>
      </w:r>
      <w:r w:rsidR="006B0DEF" w:rsidRPr="0053711F">
        <w:t>2</w:t>
      </w:r>
      <w:r w:rsidR="005F456A">
        <w:t>8</w:t>
      </w:r>
      <w:r w:rsidR="00A97F68" w:rsidRPr="0053711F">
        <w:t xml:space="preserve"> </w:t>
      </w:r>
      <w:r w:rsidR="005F456A">
        <w:t>788</w:t>
      </w:r>
      <w:r w:rsidRPr="0053711F">
        <w:t xml:space="preserve"> jordbruksföretag. Den totala population som vanligen används inom jordbruksstatistiken (i huvudsak företag med</w:t>
      </w:r>
      <w:r w:rsidRPr="00547596">
        <w:t xml:space="preserve"> mer </w:t>
      </w:r>
      <w:r w:rsidR="006B0DEF">
        <w:t xml:space="preserve">än 2 hektar åker) uppgick </w:t>
      </w:r>
      <w:r w:rsidR="0000716F">
        <w:t xml:space="preserve">under referensåret </w:t>
      </w:r>
      <w:r w:rsidR="004A595C">
        <w:t>201</w:t>
      </w:r>
      <w:r w:rsidR="0053711F">
        <w:t>8</w:t>
      </w:r>
      <w:r w:rsidRPr="00547596">
        <w:t xml:space="preserve"> till 6</w:t>
      </w:r>
      <w:r w:rsidR="00701199">
        <w:t>1</w:t>
      </w:r>
      <w:r w:rsidRPr="00547596">
        <w:t xml:space="preserve"> </w:t>
      </w:r>
      <w:r w:rsidR="0053711F">
        <w:t>154</w:t>
      </w:r>
      <w:r w:rsidRPr="00547596">
        <w:t xml:space="preserve"> jordbruksföretag.</w:t>
      </w:r>
    </w:p>
    <w:p w14:paraId="39BD45CA" w14:textId="77777777" w:rsidR="00561468" w:rsidRPr="005A484A" w:rsidRDefault="00FA5E96" w:rsidP="0077704B">
      <w:pPr>
        <w:pStyle w:val="Rubrik3"/>
        <w:overflowPunct w:val="0"/>
        <w:autoSpaceDE w:val="0"/>
        <w:autoSpaceDN w:val="0"/>
        <w:adjustRightInd w:val="0"/>
        <w:spacing w:before="240" w:after="40"/>
        <w:ind w:left="680" w:hanging="680"/>
        <w:textAlignment w:val="baseline"/>
        <w:rPr>
          <w:szCs w:val="18"/>
        </w:rPr>
      </w:pPr>
      <w:bookmarkStart w:id="54" w:name="_Toc418595700"/>
      <w:bookmarkStart w:id="55" w:name="_Toc430277562"/>
      <w:bookmarkStart w:id="56" w:name="_Toc449949579"/>
      <w:bookmarkStart w:id="57" w:name="_Toc467250859"/>
      <w:bookmarkStart w:id="58" w:name="_Toc467251691"/>
      <w:bookmarkStart w:id="59" w:name="_Toc467482228"/>
      <w:bookmarkStart w:id="60" w:name="_Toc2001572"/>
      <w:r w:rsidRPr="005A484A">
        <w:rPr>
          <w:szCs w:val="18"/>
        </w:rPr>
        <w:t>1.2.2</w:t>
      </w:r>
      <w:r w:rsidRPr="005A484A">
        <w:rPr>
          <w:szCs w:val="18"/>
        </w:rPr>
        <w:tab/>
      </w:r>
      <w:r w:rsidR="00FC1132" w:rsidRPr="005A484A">
        <w:rPr>
          <w:szCs w:val="18"/>
        </w:rPr>
        <w:t>Variabler</w:t>
      </w:r>
      <w:bookmarkEnd w:id="54"/>
      <w:bookmarkEnd w:id="55"/>
      <w:bookmarkEnd w:id="56"/>
      <w:bookmarkEnd w:id="57"/>
      <w:bookmarkEnd w:id="58"/>
      <w:bookmarkEnd w:id="59"/>
      <w:bookmarkEnd w:id="60"/>
    </w:p>
    <w:p w14:paraId="2D2B22BC" w14:textId="382F993D" w:rsidR="00EA455F" w:rsidRDefault="00EA455F" w:rsidP="00EA455F">
      <w:pPr>
        <w:pStyle w:val="Sidfot"/>
        <w:tabs>
          <w:tab w:val="left" w:pos="851"/>
        </w:tabs>
      </w:pPr>
      <w:r>
        <w:t xml:space="preserve">I </w:t>
      </w:r>
      <w:r w:rsidR="006722BB">
        <w:t xml:space="preserve">översiktstabeller av </w:t>
      </w:r>
      <w:r>
        <w:t>statistiken redovisas</w:t>
      </w:r>
      <w:r w:rsidR="006722BB">
        <w:t xml:space="preserve"> jämförelse</w:t>
      </w:r>
      <w:r w:rsidR="00F42A1F">
        <w:t>r</w:t>
      </w:r>
      <w:r w:rsidR="006722BB">
        <w:t xml:space="preserve"> mellan </w:t>
      </w:r>
      <w:r w:rsidR="004A595C">
        <w:t>201</w:t>
      </w:r>
      <w:r w:rsidR="007D2B96">
        <w:t>7</w:t>
      </w:r>
      <w:r w:rsidR="006722BB">
        <w:t xml:space="preserve"> och </w:t>
      </w:r>
      <w:r w:rsidR="004A595C">
        <w:t>201</w:t>
      </w:r>
      <w:r w:rsidR="007D2B96">
        <w:t>8</w:t>
      </w:r>
      <w:r w:rsidR="006722BB">
        <w:t xml:space="preserve"> genom beräkning av </w:t>
      </w:r>
      <w:r>
        <w:t xml:space="preserve">genomsnittliga resultat från jordbruksdriften, </w:t>
      </w:r>
      <w:r w:rsidR="006722BB">
        <w:t xml:space="preserve">med </w:t>
      </w:r>
      <w:r w:rsidR="00FA43F8">
        <w:t xml:space="preserve">utgångspunkt i </w:t>
      </w:r>
      <w:r>
        <w:t xml:space="preserve">följande </w:t>
      </w:r>
      <w:r w:rsidR="00F77E9E">
        <w:t>mål</w:t>
      </w:r>
      <w:r w:rsidR="00FA43F8">
        <w:t>variabler (</w:t>
      </w:r>
      <w:r>
        <w:t>intäkts</w:t>
      </w:r>
      <w:r w:rsidR="006722BB">
        <w:t>-, kostnads- och resultatposter</w:t>
      </w:r>
      <w:r w:rsidR="00FA43F8">
        <w:t>)</w:t>
      </w:r>
      <w:r w:rsidR="006722BB">
        <w:t>:</w:t>
      </w:r>
    </w:p>
    <w:p w14:paraId="6AE063A8" w14:textId="77777777" w:rsidR="00EA455F" w:rsidRDefault="00EA455F" w:rsidP="00EA455F">
      <w:pPr>
        <w:pStyle w:val="Sidfot"/>
        <w:tabs>
          <w:tab w:val="left" w:pos="851"/>
        </w:tabs>
      </w:pPr>
    </w:p>
    <w:p w14:paraId="3D5C0A4F" w14:textId="77777777" w:rsidR="00EA455F" w:rsidRPr="00D373F7" w:rsidRDefault="00EA455F" w:rsidP="00EA455F">
      <w:pPr>
        <w:pStyle w:val="Sidfot"/>
        <w:tabs>
          <w:tab w:val="left" w:pos="851"/>
        </w:tabs>
      </w:pPr>
      <w:r w:rsidRPr="00D373F7">
        <w:t xml:space="preserve">- Intäkter växtodling </w:t>
      </w:r>
    </w:p>
    <w:p w14:paraId="0F04504B" w14:textId="77777777" w:rsidR="00EA455F" w:rsidRPr="00D373F7" w:rsidRDefault="00EA455F" w:rsidP="00EA455F">
      <w:pPr>
        <w:pStyle w:val="Sidfot"/>
        <w:tabs>
          <w:tab w:val="left" w:pos="851"/>
        </w:tabs>
      </w:pPr>
      <w:r w:rsidRPr="00D373F7">
        <w:t>- Intäkter djurskötsel</w:t>
      </w:r>
    </w:p>
    <w:p w14:paraId="33890DAF" w14:textId="77777777" w:rsidR="00EA455F" w:rsidRPr="00D373F7" w:rsidRDefault="00EA5924" w:rsidP="00EA455F">
      <w:pPr>
        <w:pStyle w:val="Sidfot"/>
        <w:tabs>
          <w:tab w:val="left" w:pos="851"/>
        </w:tabs>
      </w:pPr>
      <w:r w:rsidRPr="00D373F7">
        <w:t xml:space="preserve">- Intäkter direktersättningar </w:t>
      </w:r>
    </w:p>
    <w:p w14:paraId="2BDED482" w14:textId="42C63E50" w:rsidR="00EA455F" w:rsidRPr="00D373F7" w:rsidRDefault="00EA455F" w:rsidP="00EA455F">
      <w:pPr>
        <w:pStyle w:val="Sidfot"/>
        <w:tabs>
          <w:tab w:val="left" w:pos="851"/>
        </w:tabs>
      </w:pPr>
      <w:r w:rsidRPr="00D373F7">
        <w:t xml:space="preserve">- Övriga intäkter </w:t>
      </w:r>
      <w:r w:rsidR="00EA5924" w:rsidRPr="00D373F7">
        <w:t>(</w:t>
      </w:r>
      <w:r w:rsidR="00454F14">
        <w:t xml:space="preserve">exkl. skog, men </w:t>
      </w:r>
      <w:r w:rsidR="005305F7">
        <w:t>inkl</w:t>
      </w:r>
      <w:r w:rsidR="00454F14">
        <w:t>.</w:t>
      </w:r>
      <w:r w:rsidR="005305F7">
        <w:t xml:space="preserve"> intäkter från </w:t>
      </w:r>
      <w:r w:rsidR="00454F14">
        <w:t xml:space="preserve">annan </w:t>
      </w:r>
      <w:r w:rsidR="005305F7">
        <w:t>sidoverksamhet)</w:t>
      </w:r>
    </w:p>
    <w:p w14:paraId="1E8B4237" w14:textId="77777777" w:rsidR="00EA455F" w:rsidRPr="002E7290" w:rsidRDefault="00EA5924" w:rsidP="00EA455F">
      <w:pPr>
        <w:pStyle w:val="Sidfot"/>
        <w:tabs>
          <w:tab w:val="left" w:pos="851"/>
        </w:tabs>
        <w:rPr>
          <w:i/>
        </w:rPr>
      </w:pPr>
      <w:r w:rsidRPr="00D373F7">
        <w:t xml:space="preserve">- </w:t>
      </w:r>
      <w:r w:rsidRPr="002E7290">
        <w:rPr>
          <w:i/>
        </w:rPr>
        <w:t>Summa intäkter</w:t>
      </w:r>
    </w:p>
    <w:p w14:paraId="5F77FA4A" w14:textId="77777777" w:rsidR="00EA455F" w:rsidRPr="00D373F7" w:rsidRDefault="00EA455F" w:rsidP="00EA455F">
      <w:pPr>
        <w:pStyle w:val="Sidfot"/>
        <w:tabs>
          <w:tab w:val="left" w:pos="851"/>
        </w:tabs>
      </w:pPr>
    </w:p>
    <w:p w14:paraId="18C9DF92" w14:textId="77777777" w:rsidR="00EA455F" w:rsidRPr="00D373F7" w:rsidRDefault="00EA455F" w:rsidP="00EA455F">
      <w:pPr>
        <w:pStyle w:val="Sidfot"/>
        <w:tabs>
          <w:tab w:val="left" w:pos="851"/>
        </w:tabs>
      </w:pPr>
      <w:r w:rsidRPr="00D373F7">
        <w:t>- Kostnader växtodling</w:t>
      </w:r>
    </w:p>
    <w:p w14:paraId="1392B317" w14:textId="77777777" w:rsidR="00EA455F" w:rsidRPr="00D373F7" w:rsidRDefault="00EA455F" w:rsidP="00EA455F">
      <w:pPr>
        <w:pStyle w:val="Sidfot"/>
        <w:tabs>
          <w:tab w:val="left" w:pos="851"/>
        </w:tabs>
      </w:pPr>
      <w:r w:rsidRPr="00D373F7">
        <w:t>- Kostnader djurskötsel</w:t>
      </w:r>
    </w:p>
    <w:p w14:paraId="7DED4508" w14:textId="77777777" w:rsidR="00EA455F" w:rsidRPr="00D373F7" w:rsidRDefault="00EA455F" w:rsidP="00EA455F">
      <w:pPr>
        <w:pStyle w:val="Sidfot"/>
        <w:tabs>
          <w:tab w:val="left" w:pos="851"/>
        </w:tabs>
      </w:pPr>
      <w:r w:rsidRPr="00D373F7">
        <w:t>- Arbetskostnad</w:t>
      </w:r>
      <w:r w:rsidR="00EA5924" w:rsidRPr="00D373F7">
        <w:t xml:space="preserve"> för anställda</w:t>
      </w:r>
      <w:r w:rsidRPr="00D373F7">
        <w:t xml:space="preserve"> </w:t>
      </w:r>
    </w:p>
    <w:p w14:paraId="127E2F48" w14:textId="77777777" w:rsidR="00EA455F" w:rsidRPr="00D373F7" w:rsidRDefault="00EA455F" w:rsidP="00EA455F">
      <w:pPr>
        <w:pStyle w:val="Sidfot"/>
        <w:tabs>
          <w:tab w:val="left" w:pos="851"/>
        </w:tabs>
      </w:pPr>
      <w:r w:rsidRPr="00D373F7">
        <w:t>- Underhåll</w:t>
      </w:r>
    </w:p>
    <w:p w14:paraId="0DE89BE0" w14:textId="77777777" w:rsidR="00EA455F" w:rsidRPr="00D373F7" w:rsidRDefault="00EA455F" w:rsidP="00EA455F">
      <w:pPr>
        <w:pStyle w:val="Sidfot"/>
        <w:tabs>
          <w:tab w:val="left" w:pos="851"/>
        </w:tabs>
      </w:pPr>
      <w:r w:rsidRPr="00D373F7">
        <w:t>- Övriga driftskostnader</w:t>
      </w:r>
    </w:p>
    <w:p w14:paraId="2FB09520" w14:textId="77777777" w:rsidR="00EA455F" w:rsidRPr="00D373F7" w:rsidRDefault="00EA455F" w:rsidP="00EA455F">
      <w:pPr>
        <w:pStyle w:val="Sidfot"/>
        <w:tabs>
          <w:tab w:val="left" w:pos="851"/>
        </w:tabs>
      </w:pPr>
      <w:r w:rsidRPr="00D373F7">
        <w:t xml:space="preserve">- </w:t>
      </w:r>
      <w:r w:rsidRPr="002E7290">
        <w:rPr>
          <w:i/>
        </w:rPr>
        <w:t>Summa driftskostnader</w:t>
      </w:r>
      <w:r w:rsidRPr="00D373F7">
        <w:t xml:space="preserve"> </w:t>
      </w:r>
    </w:p>
    <w:p w14:paraId="2455C1AC" w14:textId="77777777" w:rsidR="00EA455F" w:rsidRPr="00D373F7" w:rsidRDefault="00EA455F" w:rsidP="00EA455F">
      <w:pPr>
        <w:pStyle w:val="Sidfot"/>
        <w:tabs>
          <w:tab w:val="left" w:pos="851"/>
        </w:tabs>
      </w:pPr>
    </w:p>
    <w:p w14:paraId="08F39D2F" w14:textId="77777777" w:rsidR="00EA455F" w:rsidRPr="00D373F7" w:rsidRDefault="00EA455F" w:rsidP="00EA455F">
      <w:pPr>
        <w:pStyle w:val="Sidfot"/>
        <w:tabs>
          <w:tab w:val="left" w:pos="851"/>
        </w:tabs>
      </w:pPr>
      <w:r w:rsidRPr="00D373F7">
        <w:t xml:space="preserve">- </w:t>
      </w:r>
      <w:r w:rsidRPr="002E7290">
        <w:rPr>
          <w:i/>
        </w:rPr>
        <w:t>Bruttoresultat</w:t>
      </w:r>
    </w:p>
    <w:p w14:paraId="04E1C24F" w14:textId="77777777" w:rsidR="00EA455F" w:rsidRPr="00D373F7" w:rsidRDefault="00EA455F" w:rsidP="00EA455F">
      <w:pPr>
        <w:pStyle w:val="Sidfot"/>
        <w:tabs>
          <w:tab w:val="left" w:pos="851"/>
        </w:tabs>
      </w:pPr>
    </w:p>
    <w:p w14:paraId="63E806F2" w14:textId="77777777" w:rsidR="00EA455F" w:rsidRPr="00D373F7" w:rsidRDefault="00EA455F" w:rsidP="00EA455F">
      <w:pPr>
        <w:pStyle w:val="Sidfot"/>
        <w:tabs>
          <w:tab w:val="left" w:pos="851"/>
        </w:tabs>
      </w:pPr>
      <w:r w:rsidRPr="00D373F7">
        <w:t>- Avskrivningskostnader</w:t>
      </w:r>
    </w:p>
    <w:p w14:paraId="575F5F3C" w14:textId="77777777" w:rsidR="00EA455F" w:rsidRPr="00D373F7" w:rsidRDefault="00EA455F" w:rsidP="00EA455F">
      <w:pPr>
        <w:pStyle w:val="Sidfot"/>
        <w:tabs>
          <w:tab w:val="left" w:pos="851"/>
        </w:tabs>
      </w:pPr>
      <w:r w:rsidRPr="00D373F7">
        <w:t>- Arrendekostnader</w:t>
      </w:r>
    </w:p>
    <w:p w14:paraId="00D55B2A" w14:textId="3D1F6D5D" w:rsidR="00EA455F" w:rsidRPr="00D373F7" w:rsidRDefault="00EA5924" w:rsidP="00EA455F">
      <w:pPr>
        <w:pStyle w:val="Sidfot"/>
        <w:tabs>
          <w:tab w:val="left" w:pos="851"/>
        </w:tabs>
      </w:pPr>
      <w:r w:rsidRPr="00D373F7">
        <w:t>- Finansiellt netto</w:t>
      </w:r>
      <w:r w:rsidR="00FC3879">
        <w:t xml:space="preserve"> </w:t>
      </w:r>
      <w:r w:rsidR="00FC3879" w:rsidRPr="00D373F7">
        <w:t>(kostnader - intäkter)</w:t>
      </w:r>
    </w:p>
    <w:p w14:paraId="14170FFC" w14:textId="77777777" w:rsidR="00EA455F" w:rsidRPr="00D373F7" w:rsidRDefault="00EA455F" w:rsidP="00EA455F">
      <w:pPr>
        <w:pStyle w:val="Sidfot"/>
        <w:tabs>
          <w:tab w:val="left" w:pos="851"/>
        </w:tabs>
      </w:pPr>
      <w:r w:rsidRPr="00D373F7">
        <w:t xml:space="preserve">- </w:t>
      </w:r>
      <w:r w:rsidRPr="002E7290">
        <w:rPr>
          <w:i/>
        </w:rPr>
        <w:t>Summa övriga kostnader</w:t>
      </w:r>
    </w:p>
    <w:p w14:paraId="53CCF317" w14:textId="77777777" w:rsidR="00EA455F" w:rsidRPr="00D373F7" w:rsidRDefault="00EA455F" w:rsidP="00EA455F">
      <w:pPr>
        <w:pStyle w:val="Sidfot"/>
        <w:tabs>
          <w:tab w:val="left" w:pos="851"/>
        </w:tabs>
      </w:pPr>
    </w:p>
    <w:p w14:paraId="789695B4" w14:textId="622F5139" w:rsidR="00EA455F" w:rsidRPr="00D373F7" w:rsidRDefault="00EA455F" w:rsidP="00EA455F">
      <w:pPr>
        <w:pStyle w:val="Sidfot"/>
        <w:tabs>
          <w:tab w:val="left" w:pos="851"/>
        </w:tabs>
      </w:pPr>
      <w:r w:rsidRPr="00D373F7">
        <w:t xml:space="preserve">- </w:t>
      </w:r>
      <w:r w:rsidRPr="002E7290">
        <w:rPr>
          <w:i/>
        </w:rPr>
        <w:t>Nettoresultat</w:t>
      </w:r>
    </w:p>
    <w:p w14:paraId="43FA028B" w14:textId="77777777" w:rsidR="00EA455F" w:rsidRPr="00D373F7" w:rsidRDefault="00EA455F" w:rsidP="00EA455F">
      <w:pPr>
        <w:pStyle w:val="Sidfot"/>
        <w:tabs>
          <w:tab w:val="left" w:pos="851"/>
        </w:tabs>
      </w:pPr>
    </w:p>
    <w:p w14:paraId="6940548D" w14:textId="0F33CF0D" w:rsidR="00EA455F" w:rsidRPr="00D373F7" w:rsidRDefault="00EA455F" w:rsidP="00EA455F">
      <w:pPr>
        <w:pStyle w:val="Sidfot"/>
        <w:tabs>
          <w:tab w:val="left" w:pos="851"/>
        </w:tabs>
      </w:pPr>
      <w:r w:rsidRPr="00D373F7">
        <w:t>Utöver detta redovisas följande bakgrunds</w:t>
      </w:r>
      <w:r w:rsidR="00F42A1F">
        <w:t>information</w:t>
      </w:r>
      <w:r w:rsidRPr="00D373F7">
        <w:t>:</w:t>
      </w:r>
    </w:p>
    <w:p w14:paraId="63F89F0E" w14:textId="55F4E833" w:rsidR="00EA455F" w:rsidRPr="00D373F7" w:rsidRDefault="00EA455F" w:rsidP="00EA455F">
      <w:pPr>
        <w:pStyle w:val="Sidfot"/>
        <w:tabs>
          <w:tab w:val="left" w:pos="851"/>
        </w:tabs>
      </w:pPr>
      <w:r w:rsidRPr="00D373F7">
        <w:t xml:space="preserve">- </w:t>
      </w:r>
      <w:r w:rsidR="00DF2B4C">
        <w:t>A</w:t>
      </w:r>
      <w:r w:rsidRPr="00D373F7">
        <w:t>ntal jordbruksföretag i urvalet</w:t>
      </w:r>
    </w:p>
    <w:p w14:paraId="53FAC343" w14:textId="0A3E115A" w:rsidR="00AA2F45" w:rsidRPr="00D373F7" w:rsidRDefault="00EA455F" w:rsidP="00EA455F">
      <w:r w:rsidRPr="00D373F7">
        <w:t xml:space="preserve">- </w:t>
      </w:r>
      <w:r w:rsidR="00DF2B4C">
        <w:t>An</w:t>
      </w:r>
      <w:r w:rsidRPr="00D373F7">
        <w:t>tal jordbruksföretag i rampopulationen</w:t>
      </w:r>
    </w:p>
    <w:p w14:paraId="67C5FD7E" w14:textId="12C08711" w:rsidR="00EA455F" w:rsidRPr="00D373F7" w:rsidRDefault="00597B5F" w:rsidP="0086368F">
      <w:pPr>
        <w:spacing w:line="276" w:lineRule="auto"/>
      </w:pPr>
      <w:r>
        <w:br w:type="page"/>
      </w:r>
      <w:r w:rsidR="00EA455F" w:rsidRPr="00D373F7">
        <w:t xml:space="preserve">Utöver detta redovisas vid beräkning av jordbruksföretagens genomsnittliga resultat </w:t>
      </w:r>
      <w:r w:rsidR="00A633C2" w:rsidRPr="00D373F7">
        <w:t>från jordbruksdriften</w:t>
      </w:r>
      <w:r w:rsidR="004D6145">
        <w:t xml:space="preserve">, exklusive skogsbruket, </w:t>
      </w:r>
      <w:r w:rsidR="00EA455F" w:rsidRPr="00D373F7">
        <w:t>följande intäkts-, kostnads- och re</w:t>
      </w:r>
      <w:r w:rsidR="006722BB" w:rsidRPr="00D373F7">
        <w:t>sultatposter</w:t>
      </w:r>
      <w:r w:rsidR="00622DE6">
        <w:t xml:space="preserve"> år </w:t>
      </w:r>
      <w:r w:rsidR="004A595C">
        <w:t>201</w:t>
      </w:r>
      <w:r w:rsidR="007D2B96">
        <w:t>8</w:t>
      </w:r>
      <w:r w:rsidR="006722BB" w:rsidRPr="00D373F7">
        <w:t>:</w:t>
      </w:r>
    </w:p>
    <w:p w14:paraId="319AB553" w14:textId="50EC5198" w:rsidR="006722BB" w:rsidRPr="00D373F7" w:rsidRDefault="006722BB" w:rsidP="006722BB">
      <w:pPr>
        <w:pStyle w:val="Sidfot"/>
        <w:tabs>
          <w:tab w:val="left" w:pos="851"/>
        </w:tabs>
      </w:pPr>
      <w:r w:rsidRPr="00D373F7">
        <w:t>- Intäkter av växtodling</w:t>
      </w:r>
      <w:r w:rsidR="00A633C2">
        <w:t>:</w:t>
      </w:r>
      <w:r w:rsidRPr="00D373F7">
        <w:t xml:space="preserve"> </w:t>
      </w:r>
    </w:p>
    <w:p w14:paraId="172AEFDF" w14:textId="15BFBA9F" w:rsidR="006722BB" w:rsidRPr="00D373F7" w:rsidRDefault="006722BB" w:rsidP="006722BB">
      <w:pPr>
        <w:pStyle w:val="Sidfot"/>
        <w:tabs>
          <w:tab w:val="left" w:pos="851"/>
        </w:tabs>
      </w:pPr>
      <w:r w:rsidRPr="00D373F7">
        <w:t>spannmål, oljeväxter, vall</w:t>
      </w:r>
      <w:r w:rsidR="0086368F">
        <w:t>frö</w:t>
      </w:r>
      <w:r w:rsidRPr="00D373F7">
        <w:t xml:space="preserve"> och </w:t>
      </w:r>
      <w:r w:rsidR="0086368F">
        <w:t xml:space="preserve">andra </w:t>
      </w:r>
      <w:r w:rsidRPr="00D373F7">
        <w:t>fröer, matpotatis, fabrikspotatis, sockerbetor, grovfod</w:t>
      </w:r>
      <w:r w:rsidR="00EA5924" w:rsidRPr="00D373F7">
        <w:t>er och bete, övrig växtodling</w:t>
      </w:r>
      <w:r w:rsidRPr="00D373F7">
        <w:t xml:space="preserve">, </w:t>
      </w:r>
      <w:r w:rsidR="00EA5924" w:rsidRPr="00D373F7">
        <w:t>summa intäkter växtodling</w:t>
      </w:r>
      <w:r w:rsidRPr="00D373F7">
        <w:t xml:space="preserve"> och därav naturauttag och lager</w:t>
      </w:r>
      <w:r w:rsidR="00EA5924" w:rsidRPr="00D373F7">
        <w:t>för</w:t>
      </w:r>
      <w:r w:rsidRPr="00D373F7">
        <w:t>ändring</w:t>
      </w:r>
      <w:r w:rsidR="00A633C2">
        <w:t>.</w:t>
      </w:r>
    </w:p>
    <w:p w14:paraId="6540F2C2" w14:textId="15032656" w:rsidR="006722BB" w:rsidRPr="00D373F7" w:rsidRDefault="006722BB" w:rsidP="006722BB">
      <w:pPr>
        <w:pStyle w:val="Sidfot"/>
        <w:tabs>
          <w:tab w:val="left" w:pos="851"/>
        </w:tabs>
      </w:pPr>
      <w:r w:rsidRPr="00D373F7">
        <w:t>- Intäkter av djurskötsel</w:t>
      </w:r>
      <w:r w:rsidR="00A633C2">
        <w:t>:</w:t>
      </w:r>
    </w:p>
    <w:p w14:paraId="07ADF7E3" w14:textId="3B2CAEC2" w:rsidR="006722BB" w:rsidRPr="00D373F7" w:rsidRDefault="006722BB" w:rsidP="006722BB">
      <w:pPr>
        <w:pStyle w:val="Sidfot"/>
        <w:tabs>
          <w:tab w:val="left" w:pos="851"/>
        </w:tabs>
      </w:pPr>
      <w:r w:rsidRPr="00D373F7">
        <w:t xml:space="preserve">nötkreatur, mjölk, svin, fjäderfä och ägg, övrig </w:t>
      </w:r>
      <w:r w:rsidR="00EA5924" w:rsidRPr="00D373F7">
        <w:t>djurskötsel</w:t>
      </w:r>
      <w:r w:rsidRPr="00D373F7">
        <w:t xml:space="preserve">, summa </w:t>
      </w:r>
      <w:r w:rsidR="00EA5924" w:rsidRPr="00D373F7">
        <w:t>intäkter djurskötsel</w:t>
      </w:r>
      <w:r w:rsidRPr="00D373F7">
        <w:t xml:space="preserve"> och därav naturauttag och lager</w:t>
      </w:r>
      <w:r w:rsidR="00EA5924" w:rsidRPr="00D373F7">
        <w:t>för</w:t>
      </w:r>
      <w:r w:rsidRPr="00D373F7">
        <w:t>ändring</w:t>
      </w:r>
      <w:r w:rsidR="00A633C2">
        <w:t>.</w:t>
      </w:r>
    </w:p>
    <w:p w14:paraId="380B7929" w14:textId="5E805956" w:rsidR="00EA5924" w:rsidRPr="00D373F7" w:rsidRDefault="00EA5924" w:rsidP="006722BB">
      <w:pPr>
        <w:pStyle w:val="Sidfot"/>
        <w:tabs>
          <w:tab w:val="left" w:pos="851"/>
        </w:tabs>
      </w:pPr>
      <w:r w:rsidRPr="00D373F7">
        <w:t>- Summa intäkter övrig jordbruksproduktion</w:t>
      </w:r>
      <w:r w:rsidR="00A633C2">
        <w:t>.</w:t>
      </w:r>
    </w:p>
    <w:p w14:paraId="2B33EE7D" w14:textId="34E27D38" w:rsidR="006722BB" w:rsidRPr="00D373F7" w:rsidRDefault="00EA5924" w:rsidP="006722BB">
      <w:pPr>
        <w:pStyle w:val="Sidfot"/>
        <w:tabs>
          <w:tab w:val="left" w:pos="851"/>
        </w:tabs>
      </w:pPr>
      <w:r w:rsidRPr="00D373F7">
        <w:t>- Direktersättningar</w:t>
      </w:r>
      <w:r w:rsidR="00A633C2">
        <w:t>:</w:t>
      </w:r>
    </w:p>
    <w:p w14:paraId="02510E07" w14:textId="521BD593" w:rsidR="006722BB" w:rsidRPr="00D373F7" w:rsidRDefault="006722BB" w:rsidP="006722BB">
      <w:pPr>
        <w:pStyle w:val="Sidfot"/>
        <w:tabs>
          <w:tab w:val="left" w:pos="851"/>
        </w:tabs>
      </w:pPr>
      <w:r w:rsidRPr="00D373F7">
        <w:t xml:space="preserve">gårdsstöd, </w:t>
      </w:r>
      <w:r w:rsidR="00EA5924" w:rsidRPr="00D373F7">
        <w:t xml:space="preserve">djurbidrag, </w:t>
      </w:r>
      <w:r w:rsidRPr="00D373F7">
        <w:t>miljö</w:t>
      </w:r>
      <w:r w:rsidR="00EA5924" w:rsidRPr="00D373F7">
        <w:t>stöd</w:t>
      </w:r>
      <w:r w:rsidRPr="00D373F7">
        <w:t xml:space="preserve">, övriga </w:t>
      </w:r>
      <w:r w:rsidR="00EA5924" w:rsidRPr="00D373F7">
        <w:t>bidrag</w:t>
      </w:r>
      <w:r w:rsidRPr="00D373F7">
        <w:t xml:space="preserve">, summa </w:t>
      </w:r>
      <w:r w:rsidR="00EA5924" w:rsidRPr="00D373F7">
        <w:t>direkt</w:t>
      </w:r>
      <w:r w:rsidR="00803144" w:rsidRPr="00D373F7">
        <w:t>ersättningar/bidrag</w:t>
      </w:r>
      <w:r w:rsidR="00A633C2">
        <w:t>.</w:t>
      </w:r>
    </w:p>
    <w:p w14:paraId="7A93C322" w14:textId="2E95584A" w:rsidR="006722BB" w:rsidRPr="00D373F7" w:rsidRDefault="006722BB" w:rsidP="006722BB">
      <w:pPr>
        <w:pStyle w:val="Sidfot"/>
        <w:tabs>
          <w:tab w:val="left" w:pos="851"/>
        </w:tabs>
      </w:pPr>
      <w:r w:rsidRPr="00D373F7">
        <w:t>- Summa intäkter</w:t>
      </w:r>
      <w:r w:rsidR="00A633C2">
        <w:t>.</w:t>
      </w:r>
    </w:p>
    <w:p w14:paraId="11B1F015" w14:textId="77777777" w:rsidR="006722BB" w:rsidRPr="00D373F7" w:rsidRDefault="006722BB" w:rsidP="006722BB">
      <w:pPr>
        <w:pStyle w:val="Sidfot"/>
        <w:tabs>
          <w:tab w:val="left" w:pos="851"/>
        </w:tabs>
      </w:pPr>
    </w:p>
    <w:p w14:paraId="7254226D" w14:textId="6FEAAE39" w:rsidR="006722BB" w:rsidRPr="00D373F7" w:rsidRDefault="006722BB" w:rsidP="006722BB">
      <w:pPr>
        <w:pStyle w:val="Sidfot"/>
        <w:tabs>
          <w:tab w:val="left" w:pos="851"/>
        </w:tabs>
      </w:pPr>
      <w:r w:rsidRPr="00D373F7">
        <w:t>- Kostnader för förnödenheter</w:t>
      </w:r>
      <w:r w:rsidR="00A633C2">
        <w:t>:</w:t>
      </w:r>
    </w:p>
    <w:p w14:paraId="20B9B6C5" w14:textId="192ABB98" w:rsidR="006722BB" w:rsidRPr="00D373F7" w:rsidRDefault="00A633C2" w:rsidP="006722BB">
      <w:pPr>
        <w:pStyle w:val="Sidfot"/>
        <w:tabs>
          <w:tab w:val="left" w:pos="851"/>
        </w:tabs>
      </w:pPr>
      <w:r>
        <w:t>i</w:t>
      </w:r>
      <w:r w:rsidR="00803144" w:rsidRPr="00D373F7">
        <w:t>nköpt fodermedel</w:t>
      </w:r>
      <w:r w:rsidR="006722BB" w:rsidRPr="00D373F7">
        <w:t>, handelsgödsel, bekämpningsmedel, driv- och smörjmedel, utsäde, summa förnödenheter</w:t>
      </w:r>
      <w:r>
        <w:t>.</w:t>
      </w:r>
    </w:p>
    <w:p w14:paraId="0FA5711F" w14:textId="176B6580" w:rsidR="006722BB" w:rsidRPr="00D373F7" w:rsidRDefault="006722BB" w:rsidP="006722BB">
      <w:pPr>
        <w:pStyle w:val="Sidfot"/>
        <w:tabs>
          <w:tab w:val="left" w:pos="851"/>
        </w:tabs>
      </w:pPr>
      <w:r w:rsidRPr="00D373F7">
        <w:t>- Kostnader för underhåll</w:t>
      </w:r>
      <w:r w:rsidR="00A633C2">
        <w:t>:</w:t>
      </w:r>
    </w:p>
    <w:p w14:paraId="58F165A9" w14:textId="1CDFD7FA" w:rsidR="006722BB" w:rsidRPr="00D373F7" w:rsidRDefault="006722BB" w:rsidP="006722BB">
      <w:pPr>
        <w:pStyle w:val="Sidfot"/>
        <w:tabs>
          <w:tab w:val="left" w:pos="851"/>
        </w:tabs>
      </w:pPr>
      <w:r w:rsidRPr="00D373F7">
        <w:t>ekonomibyggnader, byggnadsinventarier, markinventarier och markanläggningar, maskiner, summa underhåll</w:t>
      </w:r>
      <w:r w:rsidR="00A633C2">
        <w:t>.</w:t>
      </w:r>
    </w:p>
    <w:p w14:paraId="3FD5F576" w14:textId="0E21AA95" w:rsidR="006722BB" w:rsidRPr="00D373F7" w:rsidRDefault="00803144" w:rsidP="006722BB">
      <w:pPr>
        <w:pStyle w:val="Sidfot"/>
        <w:tabs>
          <w:tab w:val="left" w:pos="851"/>
        </w:tabs>
      </w:pPr>
      <w:r w:rsidRPr="00D373F7">
        <w:t>- Driftskostnader</w:t>
      </w:r>
      <w:r w:rsidR="00A633C2">
        <w:t>:</w:t>
      </w:r>
    </w:p>
    <w:p w14:paraId="0E368D62" w14:textId="01377156" w:rsidR="006722BB" w:rsidRPr="00D373F7" w:rsidRDefault="006722BB" w:rsidP="006722BB">
      <w:pPr>
        <w:pStyle w:val="Sidfot"/>
        <w:tabs>
          <w:tab w:val="left" w:pos="851"/>
        </w:tabs>
      </w:pPr>
      <w:r w:rsidRPr="00D373F7">
        <w:t>el, försäkringar,</w:t>
      </w:r>
      <w:r w:rsidR="00803144" w:rsidRPr="00D373F7">
        <w:t xml:space="preserve"> personbil, diverse kostnader växtodling</w:t>
      </w:r>
      <w:r w:rsidRPr="00D373F7">
        <w:t xml:space="preserve">, </w:t>
      </w:r>
      <w:r w:rsidR="00803144" w:rsidRPr="00D373F7">
        <w:t xml:space="preserve">diverse kostnader djurskötsel, allmänna omkostnader, </w:t>
      </w:r>
      <w:r w:rsidRPr="00D373F7">
        <w:t xml:space="preserve">summa </w:t>
      </w:r>
      <w:r w:rsidR="00803144" w:rsidRPr="00D373F7">
        <w:t>drifts</w:t>
      </w:r>
      <w:r w:rsidRPr="00D373F7">
        <w:t>kostnader</w:t>
      </w:r>
      <w:r w:rsidR="00A633C2">
        <w:t>.</w:t>
      </w:r>
    </w:p>
    <w:p w14:paraId="5DDA9016" w14:textId="77777777" w:rsidR="006722BB" w:rsidRPr="00D373F7" w:rsidRDefault="006722BB" w:rsidP="006722BB">
      <w:pPr>
        <w:pStyle w:val="Sidfot"/>
        <w:tabs>
          <w:tab w:val="left" w:pos="851"/>
        </w:tabs>
      </w:pPr>
      <w:r w:rsidRPr="00D373F7">
        <w:t xml:space="preserve">- Summa kostnader före avskrivningar, arbets- och arrendekostnader </w:t>
      </w:r>
    </w:p>
    <w:p w14:paraId="24D691A2" w14:textId="07B44F98" w:rsidR="006722BB" w:rsidRPr="00D373F7" w:rsidRDefault="006722BB" w:rsidP="006722BB">
      <w:pPr>
        <w:pStyle w:val="Sidfot"/>
        <w:tabs>
          <w:tab w:val="left" w:pos="851"/>
        </w:tabs>
      </w:pPr>
      <w:r w:rsidRPr="00D373F7">
        <w:t>samt finansiellt netto</w:t>
      </w:r>
      <w:r w:rsidR="00A633C2">
        <w:t>.</w:t>
      </w:r>
    </w:p>
    <w:p w14:paraId="569DAE12" w14:textId="77777777" w:rsidR="006722BB" w:rsidRPr="00D373F7" w:rsidRDefault="006722BB" w:rsidP="006722BB">
      <w:pPr>
        <w:pStyle w:val="Sidfot"/>
        <w:tabs>
          <w:tab w:val="left" w:pos="851"/>
        </w:tabs>
      </w:pPr>
    </w:p>
    <w:p w14:paraId="7A2BC78B" w14:textId="3C99C9C1" w:rsidR="006722BB" w:rsidRPr="00D373F7" w:rsidRDefault="006722BB" w:rsidP="006722BB">
      <w:pPr>
        <w:pStyle w:val="Sidfot"/>
        <w:tabs>
          <w:tab w:val="left" w:pos="851"/>
        </w:tabs>
      </w:pPr>
      <w:r w:rsidRPr="00D373F7">
        <w:t>- Arbetskostnad</w:t>
      </w:r>
      <w:r w:rsidR="00803144" w:rsidRPr="00D373F7">
        <w:t xml:space="preserve"> anställda</w:t>
      </w:r>
      <w:r w:rsidR="00A633C2">
        <w:t>.</w:t>
      </w:r>
    </w:p>
    <w:p w14:paraId="7C932BFC" w14:textId="1D22434A" w:rsidR="006722BB" w:rsidRPr="00D373F7" w:rsidRDefault="006722BB" w:rsidP="006722BB">
      <w:pPr>
        <w:pStyle w:val="Sidfot"/>
        <w:tabs>
          <w:tab w:val="left" w:pos="851"/>
        </w:tabs>
      </w:pPr>
      <w:r w:rsidRPr="00D373F7">
        <w:t>- Summa kostnader före avskrivningar, arrendekostnader och finansiellt netto</w:t>
      </w:r>
      <w:r w:rsidR="00A633C2">
        <w:t>.</w:t>
      </w:r>
    </w:p>
    <w:p w14:paraId="350B5291" w14:textId="77777777" w:rsidR="006722BB" w:rsidRPr="00D373F7" w:rsidRDefault="006722BB" w:rsidP="006722BB">
      <w:pPr>
        <w:pStyle w:val="Sidfot"/>
        <w:tabs>
          <w:tab w:val="left" w:pos="851"/>
        </w:tabs>
      </w:pPr>
    </w:p>
    <w:p w14:paraId="0E6B4D6F" w14:textId="1BE4AF8D" w:rsidR="006722BB" w:rsidRPr="00D373F7" w:rsidRDefault="006722BB" w:rsidP="006722BB">
      <w:pPr>
        <w:pStyle w:val="Sidfot"/>
        <w:tabs>
          <w:tab w:val="left" w:pos="851"/>
        </w:tabs>
      </w:pPr>
      <w:r w:rsidRPr="00D373F7">
        <w:t>- Resultat före avskrivningar, arrendekostnader och finansiellt netto</w:t>
      </w:r>
      <w:r w:rsidR="00A633C2">
        <w:t>.</w:t>
      </w:r>
    </w:p>
    <w:p w14:paraId="45865D1C" w14:textId="77777777" w:rsidR="006722BB" w:rsidRPr="00D373F7" w:rsidRDefault="006722BB" w:rsidP="006722BB">
      <w:pPr>
        <w:pStyle w:val="Sidfot"/>
        <w:tabs>
          <w:tab w:val="left" w:pos="851"/>
        </w:tabs>
      </w:pPr>
    </w:p>
    <w:p w14:paraId="4EAEE771" w14:textId="72DDD0B8" w:rsidR="006722BB" w:rsidRPr="00D373F7" w:rsidRDefault="006722BB" w:rsidP="006722BB">
      <w:pPr>
        <w:pStyle w:val="Sidfot"/>
        <w:tabs>
          <w:tab w:val="left" w:pos="851"/>
        </w:tabs>
      </w:pPr>
      <w:r w:rsidRPr="00D373F7">
        <w:t>- Avskrivningar till anskaffningskostnad</w:t>
      </w:r>
      <w:r w:rsidR="00A633C2">
        <w:t>:</w:t>
      </w:r>
    </w:p>
    <w:p w14:paraId="26F1C5F3" w14:textId="71DF005B" w:rsidR="006722BB" w:rsidRPr="00D373F7" w:rsidRDefault="006722BB" w:rsidP="006722BB">
      <w:pPr>
        <w:pStyle w:val="Sidfot"/>
        <w:tabs>
          <w:tab w:val="left" w:pos="851"/>
        </w:tabs>
      </w:pPr>
      <w:r w:rsidRPr="00D373F7">
        <w:t>ekonomibyggnader och byggnadsinventarier, markinventarier och markanläg</w:t>
      </w:r>
      <w:r w:rsidR="00803144" w:rsidRPr="00D373F7">
        <w:t>gningar, maskiner</w:t>
      </w:r>
      <w:r w:rsidR="00A633C2">
        <w:t>.</w:t>
      </w:r>
    </w:p>
    <w:p w14:paraId="56CFCE8A" w14:textId="4ACA1F8D" w:rsidR="006722BB" w:rsidRPr="00D373F7" w:rsidRDefault="006722BB" w:rsidP="006722BB">
      <w:pPr>
        <w:pStyle w:val="Sidfot"/>
        <w:tabs>
          <w:tab w:val="left" w:pos="851"/>
        </w:tabs>
      </w:pPr>
      <w:r w:rsidRPr="00D373F7">
        <w:t>- Resultat före arrendekostnader och finansiellt netto</w:t>
      </w:r>
      <w:r w:rsidR="00A633C2">
        <w:t>.</w:t>
      </w:r>
    </w:p>
    <w:p w14:paraId="7D335FEB" w14:textId="77777777" w:rsidR="006722BB" w:rsidRPr="00D373F7" w:rsidRDefault="006722BB" w:rsidP="006722BB">
      <w:pPr>
        <w:pStyle w:val="Sidfot"/>
        <w:tabs>
          <w:tab w:val="left" w:pos="851"/>
        </w:tabs>
      </w:pPr>
    </w:p>
    <w:p w14:paraId="36F3A7C4" w14:textId="35101C72" w:rsidR="006722BB" w:rsidRPr="00D373F7" w:rsidRDefault="006722BB" w:rsidP="006722BB">
      <w:pPr>
        <w:pStyle w:val="Sidfot"/>
        <w:tabs>
          <w:tab w:val="left" w:pos="851"/>
        </w:tabs>
      </w:pPr>
      <w:r w:rsidRPr="00D373F7">
        <w:t>- Arrendekostnader</w:t>
      </w:r>
      <w:r w:rsidR="00A633C2">
        <w:t>.</w:t>
      </w:r>
    </w:p>
    <w:p w14:paraId="3C77EB89" w14:textId="3F4F03E8" w:rsidR="006722BB" w:rsidRPr="00D373F7" w:rsidRDefault="006722BB" w:rsidP="006722BB">
      <w:pPr>
        <w:pStyle w:val="Sidfot"/>
        <w:tabs>
          <w:tab w:val="left" w:pos="851"/>
        </w:tabs>
      </w:pPr>
      <w:r w:rsidRPr="00D373F7">
        <w:t>- Resultat före finansiellt netto</w:t>
      </w:r>
      <w:r w:rsidR="00A633C2">
        <w:t>.</w:t>
      </w:r>
    </w:p>
    <w:p w14:paraId="5F93BEBC" w14:textId="77777777" w:rsidR="006722BB" w:rsidRPr="00D373F7" w:rsidRDefault="006722BB" w:rsidP="006722BB">
      <w:pPr>
        <w:pStyle w:val="Sidfot"/>
        <w:tabs>
          <w:tab w:val="left" w:pos="851"/>
        </w:tabs>
      </w:pPr>
    </w:p>
    <w:p w14:paraId="42091594" w14:textId="253282CA" w:rsidR="006722BB" w:rsidRPr="00D373F7" w:rsidRDefault="006722BB" w:rsidP="006722BB">
      <w:pPr>
        <w:pStyle w:val="Sidfot"/>
        <w:tabs>
          <w:tab w:val="left" w:pos="851"/>
        </w:tabs>
      </w:pPr>
      <w:r w:rsidRPr="00D373F7">
        <w:t>- Finansiellt netto (kostnader - intäkter)</w:t>
      </w:r>
      <w:r w:rsidR="00A633C2">
        <w:t>.</w:t>
      </w:r>
    </w:p>
    <w:p w14:paraId="718D9C17" w14:textId="54F46641" w:rsidR="006722BB" w:rsidRPr="00D373F7" w:rsidRDefault="006722BB" w:rsidP="006722BB">
      <w:pPr>
        <w:pStyle w:val="Sidfot"/>
        <w:tabs>
          <w:tab w:val="left" w:pos="851"/>
        </w:tabs>
      </w:pPr>
      <w:r w:rsidRPr="00D373F7">
        <w:t>- Nettoresultat i jordbruket till brukarfamiljens arbets- och kapitalinsats</w:t>
      </w:r>
      <w:r w:rsidR="00A633C2">
        <w:t>.</w:t>
      </w:r>
    </w:p>
    <w:p w14:paraId="60AA0994" w14:textId="77777777" w:rsidR="0042139C" w:rsidRDefault="0042139C" w:rsidP="00EA455F"/>
    <w:p w14:paraId="763E49E7" w14:textId="77777777" w:rsidR="00597B5F" w:rsidRDefault="00597B5F">
      <w:pPr>
        <w:spacing w:after="200" w:line="276" w:lineRule="auto"/>
      </w:pPr>
      <w:r>
        <w:br w:type="page"/>
      </w:r>
    </w:p>
    <w:p w14:paraId="5A99A493" w14:textId="77777777" w:rsidR="00F77E9E" w:rsidRDefault="006722BB" w:rsidP="002E7290">
      <w:pPr>
        <w:pStyle w:val="Sidfot"/>
        <w:tabs>
          <w:tab w:val="left" w:pos="851"/>
        </w:tabs>
        <w:spacing w:after="120"/>
      </w:pPr>
      <w:r w:rsidRPr="00D373F7">
        <w:t>I statistiken redovisas även beräkning av jordbruksföretagens genomsnittliga resultat från skogsbruket,</w:t>
      </w:r>
      <w:r w:rsidR="00FA43F8" w:rsidRPr="00FA43F8">
        <w:t xml:space="preserve"> </w:t>
      </w:r>
      <w:r w:rsidR="00F77E9E">
        <w:t>med utgångspunkt i följande målvariabler (intäkts-, kostnads- och resultatposter):</w:t>
      </w:r>
    </w:p>
    <w:p w14:paraId="580B3DA8" w14:textId="2008E41C" w:rsidR="006722BB" w:rsidRPr="00D373F7" w:rsidRDefault="006722BB" w:rsidP="002E7290">
      <w:pPr>
        <w:spacing w:after="0"/>
      </w:pPr>
      <w:r w:rsidRPr="00D373F7">
        <w:t>- Intäkter av skogsbruket</w:t>
      </w:r>
      <w:r w:rsidR="00A633C2">
        <w:t>:</w:t>
      </w:r>
    </w:p>
    <w:p w14:paraId="42494B12" w14:textId="58566876" w:rsidR="006722BB" w:rsidRPr="00D373F7" w:rsidRDefault="00151DC1" w:rsidP="006722BB">
      <w:pPr>
        <w:pStyle w:val="Sidfot"/>
        <w:tabs>
          <w:tab w:val="left" w:pos="851"/>
        </w:tabs>
      </w:pPr>
      <w:r w:rsidRPr="00D373F7">
        <w:t>I</w:t>
      </w:r>
      <w:r w:rsidR="00803144" w:rsidRPr="00D373F7">
        <w:t>ntäkter</w:t>
      </w:r>
      <w:r>
        <w:t xml:space="preserve"> av</w:t>
      </w:r>
      <w:r w:rsidR="00803144" w:rsidRPr="00D373F7">
        <w:t xml:space="preserve"> </w:t>
      </w:r>
      <w:r w:rsidR="006722BB" w:rsidRPr="00D373F7">
        <w:t xml:space="preserve">skog på rot, </w:t>
      </w:r>
      <w:r w:rsidR="00803144" w:rsidRPr="00D373F7">
        <w:t xml:space="preserve">intäkter </w:t>
      </w:r>
      <w:r w:rsidR="006722BB" w:rsidRPr="00D373F7">
        <w:t>timmer, massa och levera</w:t>
      </w:r>
      <w:r w:rsidR="00D373F7" w:rsidRPr="00D373F7">
        <w:t xml:space="preserve">nsvirke, övriga intäkter </w:t>
      </w:r>
      <w:r>
        <w:t xml:space="preserve">av </w:t>
      </w:r>
      <w:r w:rsidR="00D373F7" w:rsidRPr="00D373F7">
        <w:t>skog, s</w:t>
      </w:r>
      <w:r w:rsidR="006722BB" w:rsidRPr="00D373F7">
        <w:t>umma intäkter</w:t>
      </w:r>
      <w:r w:rsidR="00803144" w:rsidRPr="00D373F7">
        <w:t xml:space="preserve"> </w:t>
      </w:r>
      <w:r>
        <w:t xml:space="preserve">av </w:t>
      </w:r>
      <w:r w:rsidR="00803144" w:rsidRPr="00D373F7">
        <w:t>skog</w:t>
      </w:r>
      <w:r w:rsidR="00A633C2">
        <w:t>.</w:t>
      </w:r>
    </w:p>
    <w:p w14:paraId="10D1C0BE" w14:textId="77777777" w:rsidR="006722BB" w:rsidRPr="00B22E7C" w:rsidRDefault="006722BB" w:rsidP="006722BB">
      <w:pPr>
        <w:pStyle w:val="Sidfot"/>
        <w:tabs>
          <w:tab w:val="left" w:pos="851"/>
        </w:tabs>
        <w:rPr>
          <w:highlight w:val="yellow"/>
        </w:rPr>
      </w:pPr>
    </w:p>
    <w:p w14:paraId="59DBEC46" w14:textId="1023D1DA" w:rsidR="006722BB" w:rsidRPr="00D373F7" w:rsidRDefault="006722BB" w:rsidP="006722BB">
      <w:pPr>
        <w:pStyle w:val="Sidfot"/>
        <w:tabs>
          <w:tab w:val="left" w:pos="851"/>
        </w:tabs>
      </w:pPr>
      <w:r w:rsidRPr="00D373F7">
        <w:t>- Kostnader i skogsbruket</w:t>
      </w:r>
      <w:r w:rsidR="00A633C2">
        <w:t>:</w:t>
      </w:r>
    </w:p>
    <w:p w14:paraId="65041C8F" w14:textId="382E1487" w:rsidR="006722BB" w:rsidRPr="00D373F7" w:rsidRDefault="0086368F" w:rsidP="006722BB">
      <w:pPr>
        <w:pStyle w:val="Sidfot"/>
        <w:tabs>
          <w:tab w:val="left" w:pos="851"/>
        </w:tabs>
      </w:pPr>
      <w:r>
        <w:t>K</w:t>
      </w:r>
      <w:r w:rsidR="00D373F7" w:rsidRPr="00D373F7">
        <w:t xml:space="preserve">ostnader </w:t>
      </w:r>
      <w:r w:rsidR="00151DC1">
        <w:t xml:space="preserve">för </w:t>
      </w:r>
      <w:r w:rsidR="00D373F7" w:rsidRPr="00D373F7">
        <w:t xml:space="preserve">skogsvård, övriga kostnader </w:t>
      </w:r>
      <w:r w:rsidR="00151DC1">
        <w:t xml:space="preserve">för </w:t>
      </w:r>
      <w:r w:rsidR="00D373F7" w:rsidRPr="00D373F7">
        <w:t>skog</w:t>
      </w:r>
      <w:r>
        <w:t>sbruk</w:t>
      </w:r>
      <w:r w:rsidR="00D373F7" w:rsidRPr="00D373F7">
        <w:t xml:space="preserve">, summa kostnader </w:t>
      </w:r>
      <w:r w:rsidR="00151DC1">
        <w:t>för skog</w:t>
      </w:r>
      <w:r>
        <w:t>sbruk</w:t>
      </w:r>
      <w:r w:rsidR="00D373F7" w:rsidRPr="00D373F7">
        <w:t xml:space="preserve"> </w:t>
      </w:r>
    </w:p>
    <w:p w14:paraId="69C87FB3" w14:textId="6E277CDB" w:rsidR="006722BB" w:rsidRPr="00D373F7" w:rsidRDefault="00D373F7" w:rsidP="006722BB">
      <w:pPr>
        <w:pStyle w:val="Sidfot"/>
        <w:tabs>
          <w:tab w:val="left" w:pos="851"/>
        </w:tabs>
      </w:pPr>
      <w:r w:rsidRPr="00D373F7">
        <w:t>- Resultat i skog</w:t>
      </w:r>
      <w:r w:rsidR="0086368F">
        <w:t>sbruket</w:t>
      </w:r>
      <w:r w:rsidRPr="00D373F7">
        <w:t xml:space="preserve"> före avskrivningar och arbetskostnader</w:t>
      </w:r>
      <w:r w:rsidR="00A633C2">
        <w:t>.</w:t>
      </w:r>
    </w:p>
    <w:p w14:paraId="4BD7E97E" w14:textId="69CB6826" w:rsidR="00D373F7" w:rsidRPr="00D373F7" w:rsidRDefault="00D373F7" w:rsidP="006722BB">
      <w:pPr>
        <w:pStyle w:val="Sidfot"/>
        <w:tabs>
          <w:tab w:val="left" w:pos="851"/>
        </w:tabs>
      </w:pPr>
      <w:r w:rsidRPr="00D373F7">
        <w:t>- Arbets</w:t>
      </w:r>
      <w:r w:rsidR="0086368F">
        <w:t>kostnader för anställda i skogsbruket</w:t>
      </w:r>
      <w:r w:rsidR="00A633C2">
        <w:t>.</w:t>
      </w:r>
    </w:p>
    <w:p w14:paraId="35255D18" w14:textId="77777777" w:rsidR="006722BB" w:rsidRPr="00D373F7" w:rsidRDefault="006722BB" w:rsidP="006722BB">
      <w:pPr>
        <w:pStyle w:val="Sidfot"/>
        <w:tabs>
          <w:tab w:val="left" w:pos="851"/>
        </w:tabs>
      </w:pPr>
    </w:p>
    <w:p w14:paraId="75711EC8" w14:textId="38657AD0" w:rsidR="006722BB" w:rsidRPr="00D373F7" w:rsidRDefault="006722BB" w:rsidP="006722BB">
      <w:pPr>
        <w:pStyle w:val="Sidfot"/>
        <w:tabs>
          <w:tab w:val="left" w:pos="851"/>
        </w:tabs>
      </w:pPr>
      <w:r w:rsidRPr="00D373F7">
        <w:t xml:space="preserve">- Resultat </w:t>
      </w:r>
      <w:r w:rsidR="00E20465">
        <w:t>i skogsbruket</w:t>
      </w:r>
      <w:r w:rsidR="00D373F7" w:rsidRPr="00D373F7">
        <w:t xml:space="preserve"> </w:t>
      </w:r>
      <w:r w:rsidRPr="00D373F7">
        <w:t>före avsk</w:t>
      </w:r>
      <w:r w:rsidR="00D373F7" w:rsidRPr="00D373F7">
        <w:t>rivningar</w:t>
      </w:r>
      <w:r w:rsidR="00A633C2">
        <w:t>.</w:t>
      </w:r>
    </w:p>
    <w:p w14:paraId="0FB6E049" w14:textId="5686393E" w:rsidR="006722BB" w:rsidRPr="00D373F7" w:rsidRDefault="006722BB" w:rsidP="006722BB">
      <w:pPr>
        <w:pStyle w:val="Sidfot"/>
        <w:tabs>
          <w:tab w:val="left" w:pos="851"/>
        </w:tabs>
      </w:pPr>
      <w:r w:rsidRPr="00D373F7">
        <w:t>- Avskri</w:t>
      </w:r>
      <w:r w:rsidR="00D373F7" w:rsidRPr="00D373F7">
        <w:t>vning</w:t>
      </w:r>
      <w:r w:rsidR="00E20465">
        <w:t>ar maskiner och redskap i skogsbruket</w:t>
      </w:r>
      <w:r w:rsidR="00A633C2">
        <w:t>.</w:t>
      </w:r>
    </w:p>
    <w:p w14:paraId="75C70D49" w14:textId="2678CA50" w:rsidR="006722BB" w:rsidRPr="00D373F7" w:rsidRDefault="006722BB" w:rsidP="006722BB">
      <w:pPr>
        <w:pStyle w:val="Sidfot"/>
        <w:tabs>
          <w:tab w:val="left" w:pos="851"/>
        </w:tabs>
      </w:pPr>
      <w:r w:rsidRPr="00D373F7">
        <w:t>- Resultat före finansiellt netto</w:t>
      </w:r>
      <w:r w:rsidR="00D373F7" w:rsidRPr="00D373F7">
        <w:t xml:space="preserve"> i skog</w:t>
      </w:r>
      <w:r w:rsidR="00E20465">
        <w:t>sbruket</w:t>
      </w:r>
      <w:r w:rsidR="00A633C2">
        <w:t>.</w:t>
      </w:r>
    </w:p>
    <w:p w14:paraId="70558F45" w14:textId="77777777" w:rsidR="006722BB" w:rsidRPr="00D373F7" w:rsidRDefault="006722BB" w:rsidP="006722BB">
      <w:pPr>
        <w:pStyle w:val="Sidfot"/>
        <w:tabs>
          <w:tab w:val="left" w:pos="851"/>
        </w:tabs>
      </w:pPr>
    </w:p>
    <w:p w14:paraId="1D663DAF" w14:textId="1D5CB13E" w:rsidR="006722BB" w:rsidRPr="00D373F7" w:rsidRDefault="006722BB" w:rsidP="006722BB">
      <w:pPr>
        <w:pStyle w:val="Sidfot"/>
        <w:tabs>
          <w:tab w:val="left" w:pos="851"/>
        </w:tabs>
      </w:pPr>
      <w:r w:rsidRPr="00D373F7">
        <w:t>-</w:t>
      </w:r>
      <w:r w:rsidR="00D373F7" w:rsidRPr="00D373F7">
        <w:t xml:space="preserve"> Finansiellt netto i skogsbruket</w:t>
      </w:r>
      <w:r w:rsidR="00A633C2">
        <w:t>.</w:t>
      </w:r>
    </w:p>
    <w:p w14:paraId="76592089" w14:textId="33C270A0" w:rsidR="006722BB" w:rsidRPr="00D373F7" w:rsidRDefault="00D373F7" w:rsidP="006722BB">
      <w:pPr>
        <w:pStyle w:val="Sidfot"/>
        <w:tabs>
          <w:tab w:val="left" w:pos="851"/>
        </w:tabs>
      </w:pPr>
      <w:r w:rsidRPr="00D373F7">
        <w:t xml:space="preserve">- Resultat </w:t>
      </w:r>
      <w:r w:rsidR="00C122EF">
        <w:t>av</w:t>
      </w:r>
      <w:r w:rsidR="006722BB" w:rsidRPr="00D373F7">
        <w:t xml:space="preserve"> brukarfamiljens a</w:t>
      </w:r>
      <w:r w:rsidRPr="00D373F7">
        <w:t>rbete</w:t>
      </w:r>
      <w:r w:rsidR="006722BB" w:rsidRPr="00D373F7">
        <w:t xml:space="preserve"> och kapitalinsats</w:t>
      </w:r>
      <w:r w:rsidR="00A633C2">
        <w:t>.</w:t>
      </w:r>
    </w:p>
    <w:p w14:paraId="5442304A" w14:textId="77777777" w:rsidR="006722BB" w:rsidRPr="00B22E7C" w:rsidRDefault="006722BB" w:rsidP="00EA455F">
      <w:pPr>
        <w:rPr>
          <w:highlight w:val="yellow"/>
        </w:rPr>
      </w:pPr>
    </w:p>
    <w:p w14:paraId="0A435EED" w14:textId="0504BD57" w:rsidR="006722BB" w:rsidRPr="00A04C6E" w:rsidRDefault="00B22E7C" w:rsidP="00EA455F">
      <w:r w:rsidRPr="00A04C6E">
        <w:t xml:space="preserve">Som komplement till resultatredovisningen </w:t>
      </w:r>
      <w:r w:rsidR="00FA43F8">
        <w:t xml:space="preserve">ges också </w:t>
      </w:r>
      <w:r w:rsidRPr="00A04C6E">
        <w:t>statistik</w:t>
      </w:r>
      <w:r w:rsidR="00FA43F8">
        <w:t xml:space="preserve"> över </w:t>
      </w:r>
      <w:r w:rsidRPr="00A04C6E">
        <w:t>genomsnittsvärden för följande bakgrundsvariabler:</w:t>
      </w:r>
    </w:p>
    <w:p w14:paraId="559D6DFB" w14:textId="21E06569" w:rsidR="00A04C6E" w:rsidRPr="00A04C6E" w:rsidRDefault="00841C9B" w:rsidP="00A04C6E">
      <w:pPr>
        <w:pStyle w:val="Sidfot"/>
        <w:tabs>
          <w:tab w:val="left" w:pos="851"/>
        </w:tabs>
      </w:pPr>
      <w:r>
        <w:t xml:space="preserve">- </w:t>
      </w:r>
      <w:r w:rsidR="00A633C2">
        <w:t>å</w:t>
      </w:r>
      <w:r>
        <w:t>kerarealens användning</w:t>
      </w:r>
    </w:p>
    <w:p w14:paraId="139125C1" w14:textId="389F2677" w:rsidR="00B22E7C" w:rsidRPr="00A04C6E" w:rsidRDefault="00A04C6E" w:rsidP="00B22E7C">
      <w:pPr>
        <w:pStyle w:val="Sidfot"/>
        <w:tabs>
          <w:tab w:val="left" w:pos="851"/>
        </w:tabs>
      </w:pPr>
      <w:r w:rsidRPr="00A04C6E">
        <w:t xml:space="preserve">- </w:t>
      </w:r>
      <w:r w:rsidR="00A633C2">
        <w:t>s</w:t>
      </w:r>
      <w:r w:rsidRPr="00A04C6E">
        <w:t>umma åker</w:t>
      </w:r>
      <w:r w:rsidR="00B22E7C" w:rsidRPr="00A04C6E">
        <w:t xml:space="preserve"> under eget bruk</w:t>
      </w:r>
    </w:p>
    <w:p w14:paraId="42622259" w14:textId="4C937B58" w:rsidR="00B22E7C" w:rsidRPr="00A04C6E" w:rsidRDefault="00B22E7C" w:rsidP="00B22E7C">
      <w:pPr>
        <w:pStyle w:val="Sidfot"/>
        <w:tabs>
          <w:tab w:val="left" w:pos="851"/>
        </w:tabs>
      </w:pPr>
      <w:r w:rsidRPr="00A04C6E">
        <w:t xml:space="preserve">- </w:t>
      </w:r>
      <w:r w:rsidR="00A633C2">
        <w:t>b</w:t>
      </w:r>
      <w:r w:rsidRPr="00A04C6E">
        <w:t>etesmark</w:t>
      </w:r>
    </w:p>
    <w:p w14:paraId="49CC83E0" w14:textId="50EFD02F" w:rsidR="00B22E7C" w:rsidRPr="00A04C6E" w:rsidRDefault="00D373F7" w:rsidP="00B22E7C">
      <w:pPr>
        <w:pStyle w:val="Sidfot"/>
        <w:tabs>
          <w:tab w:val="left" w:pos="851"/>
        </w:tabs>
      </w:pPr>
      <w:r w:rsidRPr="00A04C6E">
        <w:t xml:space="preserve">- </w:t>
      </w:r>
      <w:r w:rsidR="00A633C2">
        <w:t>s</w:t>
      </w:r>
      <w:r w:rsidRPr="00A04C6E">
        <w:t>kogsmark</w:t>
      </w:r>
    </w:p>
    <w:p w14:paraId="45EC1685" w14:textId="1B128686" w:rsidR="00B22E7C" w:rsidRPr="00A04C6E" w:rsidRDefault="00B22E7C" w:rsidP="00B22E7C">
      <w:pPr>
        <w:pStyle w:val="Sidfot"/>
        <w:tabs>
          <w:tab w:val="left" w:pos="851"/>
        </w:tabs>
      </w:pPr>
      <w:r w:rsidRPr="00A04C6E">
        <w:t xml:space="preserve">- </w:t>
      </w:r>
      <w:r w:rsidR="00A633C2">
        <w:t>m</w:t>
      </w:r>
      <w:r w:rsidR="00A04C6E" w:rsidRPr="00A04C6E">
        <w:t>edela</w:t>
      </w:r>
      <w:r w:rsidRPr="00A04C6E">
        <w:t>ntal djur av olika slag</w:t>
      </w:r>
    </w:p>
    <w:p w14:paraId="0D28C69C" w14:textId="30BF884A" w:rsidR="00B22E7C" w:rsidRPr="00A04C6E" w:rsidRDefault="00B22E7C" w:rsidP="00B22E7C">
      <w:pPr>
        <w:pStyle w:val="Sidfot"/>
        <w:tabs>
          <w:tab w:val="left" w:pos="851"/>
        </w:tabs>
      </w:pPr>
      <w:r w:rsidRPr="00A04C6E">
        <w:t xml:space="preserve">- </w:t>
      </w:r>
      <w:r w:rsidR="00A633C2">
        <w:t>a</w:t>
      </w:r>
      <w:r w:rsidRPr="00A04C6E">
        <w:t>rbetsinsats efter personalkategori</w:t>
      </w:r>
    </w:p>
    <w:p w14:paraId="7057FD6D" w14:textId="3EDC4EE8" w:rsidR="00B22E7C" w:rsidRPr="00A04C6E" w:rsidRDefault="00B22E7C" w:rsidP="00B22E7C">
      <w:pPr>
        <w:pStyle w:val="Sidfot"/>
        <w:tabs>
          <w:tab w:val="left" w:pos="851"/>
        </w:tabs>
      </w:pPr>
      <w:r w:rsidRPr="00A04C6E">
        <w:t xml:space="preserve">- </w:t>
      </w:r>
      <w:r w:rsidR="00A633C2">
        <w:t>a</w:t>
      </w:r>
      <w:r w:rsidRPr="00A04C6E">
        <w:t xml:space="preserve">rbetsinsats efter </w:t>
      </w:r>
      <w:proofErr w:type="spellStart"/>
      <w:r w:rsidRPr="00A04C6E">
        <w:t>arbetsslag</w:t>
      </w:r>
      <w:proofErr w:type="spellEnd"/>
    </w:p>
    <w:p w14:paraId="7AA2259F" w14:textId="7ACD2021" w:rsidR="00B22E7C" w:rsidRPr="00A04C6E" w:rsidRDefault="00B22E7C" w:rsidP="00B22E7C">
      <w:pPr>
        <w:pStyle w:val="Sidfot"/>
        <w:tabs>
          <w:tab w:val="left" w:pos="851"/>
        </w:tabs>
      </w:pPr>
      <w:r w:rsidRPr="00E452D9">
        <w:t xml:space="preserve">- </w:t>
      </w:r>
      <w:r w:rsidR="00A633C2" w:rsidRPr="00E452D9">
        <w:t>k</w:t>
      </w:r>
      <w:r w:rsidR="00E452D9" w:rsidRPr="00E452D9">
        <w:t xml:space="preserve">alkylerade </w:t>
      </w:r>
      <w:r w:rsidRPr="00E452D9">
        <w:t>värden för olika tillgångar</w:t>
      </w:r>
    </w:p>
    <w:p w14:paraId="398A3BAC" w14:textId="3F559B74" w:rsidR="00315011" w:rsidRDefault="00B22E7C" w:rsidP="00E42B5E">
      <w:pPr>
        <w:pStyle w:val="Sidfot"/>
        <w:tabs>
          <w:tab w:val="left" w:pos="851"/>
        </w:tabs>
      </w:pPr>
      <w:r w:rsidRPr="00A04C6E">
        <w:t xml:space="preserve">- </w:t>
      </w:r>
      <w:r w:rsidR="00A633C2">
        <w:t>i</w:t>
      </w:r>
      <w:r w:rsidRPr="00A04C6E">
        <w:t>nvesteringar av olika slag</w:t>
      </w:r>
      <w:r w:rsidR="00A633C2">
        <w:t>.</w:t>
      </w:r>
    </w:p>
    <w:p w14:paraId="08E12074" w14:textId="733848D1" w:rsidR="00F77E9E" w:rsidRDefault="00F77E9E" w:rsidP="00E42B5E">
      <w:pPr>
        <w:pStyle w:val="Sidfot"/>
        <w:tabs>
          <w:tab w:val="left" w:pos="851"/>
        </w:tabs>
      </w:pPr>
    </w:p>
    <w:p w14:paraId="514E5F74" w14:textId="261AFA74" w:rsidR="00F77E9E" w:rsidRPr="00E42B5E" w:rsidRDefault="00F77E9E" w:rsidP="00E42B5E">
      <w:pPr>
        <w:pStyle w:val="Sidfot"/>
        <w:tabs>
          <w:tab w:val="left" w:pos="851"/>
        </w:tabs>
      </w:pPr>
      <w:r>
        <w:t xml:space="preserve">Intressevariablerna (de variabler som idealt skulle användas på grund av ett användarbehov) överensstämmer </w:t>
      </w:r>
      <w:r w:rsidR="004D6145">
        <w:t xml:space="preserve">i stort </w:t>
      </w:r>
      <w:r>
        <w:t>med målvariablerna. Observationsvariablerna (de variabler som det saml</w:t>
      </w:r>
      <w:r w:rsidR="00622DE6">
        <w:t xml:space="preserve">as in värden </w:t>
      </w:r>
      <w:r w:rsidR="00956AC7">
        <w:t>för</w:t>
      </w:r>
      <w:r>
        <w:t>) är betydligt fler än målvariablerna. Vissa målvariabler härleds ur observationsvariabler.</w:t>
      </w:r>
    </w:p>
    <w:p w14:paraId="07201984" w14:textId="77777777" w:rsidR="00FC1132" w:rsidRPr="005A484A" w:rsidRDefault="007C346C" w:rsidP="0077704B">
      <w:pPr>
        <w:pStyle w:val="Rubrik3"/>
        <w:overflowPunct w:val="0"/>
        <w:autoSpaceDE w:val="0"/>
        <w:autoSpaceDN w:val="0"/>
        <w:adjustRightInd w:val="0"/>
        <w:spacing w:before="240" w:after="40"/>
        <w:ind w:left="680" w:hanging="680"/>
        <w:textAlignment w:val="baseline"/>
        <w:rPr>
          <w:szCs w:val="18"/>
        </w:rPr>
      </w:pPr>
      <w:bookmarkStart w:id="61" w:name="_Toc467250860"/>
      <w:bookmarkStart w:id="62" w:name="_Toc467251692"/>
      <w:bookmarkStart w:id="63" w:name="_Toc467482229"/>
      <w:bookmarkStart w:id="64" w:name="_Toc2001573"/>
      <w:r w:rsidRPr="005A484A">
        <w:rPr>
          <w:szCs w:val="18"/>
        </w:rPr>
        <w:t>1.2.3</w:t>
      </w:r>
      <w:r w:rsidRPr="005A484A">
        <w:rPr>
          <w:szCs w:val="18"/>
        </w:rPr>
        <w:tab/>
      </w:r>
      <w:r w:rsidR="00FC1132" w:rsidRPr="005A484A">
        <w:rPr>
          <w:szCs w:val="18"/>
        </w:rPr>
        <w:t>Statistiska mått</w:t>
      </w:r>
      <w:bookmarkEnd w:id="61"/>
      <w:bookmarkEnd w:id="62"/>
      <w:bookmarkEnd w:id="63"/>
      <w:bookmarkEnd w:id="64"/>
    </w:p>
    <w:p w14:paraId="3CA61D2C" w14:textId="74070908" w:rsidR="00597B5F" w:rsidRDefault="0018649C" w:rsidP="002E7290">
      <w:r>
        <w:t>Det sammanfattande mått som förekommer i statistiken är medelvärde (g</w:t>
      </w:r>
      <w:r w:rsidR="00B22E7C" w:rsidRPr="007A7478">
        <w:t>enomsnitt</w:t>
      </w:r>
      <w:r>
        <w:t>).</w:t>
      </w:r>
    </w:p>
    <w:p w14:paraId="33A126C7" w14:textId="7BDD2373" w:rsidR="0000716F" w:rsidRDefault="0000716F">
      <w:pPr>
        <w:spacing w:after="200" w:line="276" w:lineRule="auto"/>
      </w:pPr>
      <w:r>
        <w:br w:type="page"/>
      </w:r>
    </w:p>
    <w:p w14:paraId="4BB9FBDF" w14:textId="65681C3B" w:rsidR="00FC1132" w:rsidRPr="005A484A" w:rsidRDefault="007C346C" w:rsidP="0077704B">
      <w:pPr>
        <w:pStyle w:val="Rubrik3"/>
        <w:overflowPunct w:val="0"/>
        <w:autoSpaceDE w:val="0"/>
        <w:autoSpaceDN w:val="0"/>
        <w:adjustRightInd w:val="0"/>
        <w:spacing w:before="240" w:after="40"/>
        <w:ind w:left="680" w:hanging="680"/>
        <w:textAlignment w:val="baseline"/>
        <w:rPr>
          <w:szCs w:val="18"/>
        </w:rPr>
      </w:pPr>
      <w:bookmarkStart w:id="65" w:name="_Toc467250861"/>
      <w:bookmarkStart w:id="66" w:name="_Toc467251693"/>
      <w:bookmarkStart w:id="67" w:name="_Toc467482230"/>
      <w:bookmarkStart w:id="68" w:name="_Toc2001574"/>
      <w:r w:rsidRPr="005A484A">
        <w:rPr>
          <w:szCs w:val="18"/>
        </w:rPr>
        <w:t>1.2.4</w:t>
      </w:r>
      <w:r w:rsidRPr="005A484A">
        <w:rPr>
          <w:szCs w:val="18"/>
        </w:rPr>
        <w:tab/>
      </w:r>
      <w:r w:rsidR="00FC1132" w:rsidRPr="005A484A">
        <w:rPr>
          <w:szCs w:val="18"/>
        </w:rPr>
        <w:t>Redovisningsgrupper</w:t>
      </w:r>
      <w:bookmarkEnd w:id="65"/>
      <w:bookmarkEnd w:id="66"/>
      <w:bookmarkEnd w:id="67"/>
      <w:bookmarkEnd w:id="68"/>
    </w:p>
    <w:p w14:paraId="39008084" w14:textId="4CF27064" w:rsidR="00597B5F" w:rsidRDefault="00B22E7C">
      <w:r>
        <w:t xml:space="preserve">I statistiken används följande redovisningsgrupper </w:t>
      </w:r>
      <w:r w:rsidR="00956AC7">
        <w:t>utifrån</w:t>
      </w:r>
      <w:r>
        <w:t xml:space="preserve"> svensk </w:t>
      </w:r>
      <w:r w:rsidR="00354982">
        <w:t>typklassificering (</w:t>
      </w:r>
      <w:r>
        <w:t>typologi</w:t>
      </w:r>
      <w:r w:rsidR="00354982">
        <w:t>)</w:t>
      </w:r>
      <w:r>
        <w:t>:</w:t>
      </w:r>
    </w:p>
    <w:tbl>
      <w:tblPr>
        <w:tblW w:w="7900" w:type="dxa"/>
        <w:tblLayout w:type="fixed"/>
        <w:tblCellMar>
          <w:left w:w="70" w:type="dxa"/>
          <w:right w:w="70" w:type="dxa"/>
        </w:tblCellMar>
        <w:tblLook w:val="0000" w:firstRow="0" w:lastRow="0" w:firstColumn="0" w:lastColumn="0" w:noHBand="0" w:noVBand="0"/>
      </w:tblPr>
      <w:tblGrid>
        <w:gridCol w:w="7900"/>
      </w:tblGrid>
      <w:tr w:rsidR="00FF1B09" w14:paraId="52D2BD7F" w14:textId="77777777" w:rsidTr="00597B5F">
        <w:tc>
          <w:tcPr>
            <w:tcW w:w="7900" w:type="dxa"/>
          </w:tcPr>
          <w:p w14:paraId="634F0E02" w14:textId="77777777" w:rsidR="00FF1B09" w:rsidRDefault="00FF1B09" w:rsidP="00EA5924">
            <w:pPr>
              <w:pStyle w:val="Sidfot"/>
              <w:tabs>
                <w:tab w:val="left" w:pos="851"/>
              </w:tabs>
            </w:pPr>
          </w:p>
          <w:tbl>
            <w:tblPr>
              <w:tblW w:w="74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2835"/>
              <w:gridCol w:w="2126"/>
              <w:gridCol w:w="1768"/>
            </w:tblGrid>
            <w:tr w:rsidR="00FF1B09" w:rsidRPr="00D30A34" w14:paraId="125F6C80" w14:textId="77777777" w:rsidTr="00EA5924">
              <w:trPr>
                <w:trHeight w:val="624"/>
              </w:trPr>
              <w:tc>
                <w:tcPr>
                  <w:tcW w:w="3562" w:type="dxa"/>
                  <w:gridSpan w:val="2"/>
                </w:tcPr>
                <w:p w14:paraId="6AD95C8F" w14:textId="77777777" w:rsidR="00FF1B09" w:rsidRPr="00D30A34" w:rsidRDefault="00FF1B09" w:rsidP="00EA5924">
                  <w:pPr>
                    <w:rPr>
                      <w:b/>
                    </w:rPr>
                  </w:pPr>
                  <w:proofErr w:type="spellStart"/>
                  <w:r w:rsidRPr="00D30A34">
                    <w:rPr>
                      <w:b/>
                    </w:rPr>
                    <w:t>Riksområde</w:t>
                  </w:r>
                  <w:proofErr w:type="spellEnd"/>
                </w:p>
              </w:tc>
              <w:tc>
                <w:tcPr>
                  <w:tcW w:w="2126" w:type="dxa"/>
                </w:tcPr>
                <w:p w14:paraId="10BDC71D" w14:textId="3FC23F9F" w:rsidR="00FF1B09" w:rsidRPr="00D30A34" w:rsidRDefault="00FF1B09" w:rsidP="00A633C2">
                  <w:pPr>
                    <w:rPr>
                      <w:b/>
                    </w:rPr>
                  </w:pPr>
                  <w:r w:rsidRPr="00D30A34">
                    <w:rPr>
                      <w:b/>
                    </w:rPr>
                    <w:t>Drifts</w:t>
                  </w:r>
                  <w:r w:rsidR="00A633C2">
                    <w:rPr>
                      <w:b/>
                    </w:rPr>
                    <w:t>i</w:t>
                  </w:r>
                  <w:r w:rsidRPr="00D30A34">
                    <w:rPr>
                      <w:b/>
                    </w:rPr>
                    <w:t>nriktning</w:t>
                  </w:r>
                </w:p>
              </w:tc>
              <w:tc>
                <w:tcPr>
                  <w:tcW w:w="1768" w:type="dxa"/>
                </w:tcPr>
                <w:p w14:paraId="5B8C58E2" w14:textId="77777777" w:rsidR="00FF1B09" w:rsidRPr="00D30A34" w:rsidRDefault="00FF1B09" w:rsidP="00EA5924">
                  <w:pPr>
                    <w:rPr>
                      <w:b/>
                    </w:rPr>
                  </w:pPr>
                  <w:r w:rsidRPr="00D30A34">
                    <w:rPr>
                      <w:b/>
                    </w:rPr>
                    <w:t>Standard-</w:t>
                  </w:r>
                </w:p>
                <w:p w14:paraId="323ABC88" w14:textId="77777777" w:rsidR="00FF1B09" w:rsidRPr="00D30A34" w:rsidRDefault="00FF1B09" w:rsidP="00EA5924">
                  <w:pPr>
                    <w:rPr>
                      <w:b/>
                    </w:rPr>
                  </w:pPr>
                  <w:r w:rsidRPr="00D30A34">
                    <w:rPr>
                      <w:b/>
                    </w:rPr>
                    <w:t>timmar</w:t>
                  </w:r>
                </w:p>
              </w:tc>
            </w:tr>
            <w:tr w:rsidR="00252E07" w:rsidRPr="00D30A34" w14:paraId="68D57641" w14:textId="77777777" w:rsidTr="00EA5924">
              <w:trPr>
                <w:trHeight w:val="397"/>
              </w:trPr>
              <w:tc>
                <w:tcPr>
                  <w:tcW w:w="727" w:type="dxa"/>
                  <w:vMerge w:val="restart"/>
                </w:tcPr>
                <w:p w14:paraId="71D21BBA" w14:textId="77777777" w:rsidR="00252E07" w:rsidRPr="00D30A34" w:rsidRDefault="00252E07" w:rsidP="00EA5924">
                  <w:r w:rsidRPr="00D30A34">
                    <w:t>RO 1</w:t>
                  </w:r>
                </w:p>
              </w:tc>
              <w:tc>
                <w:tcPr>
                  <w:tcW w:w="2835" w:type="dxa"/>
                  <w:vMerge w:val="restart"/>
                </w:tcPr>
                <w:p w14:paraId="247E9560" w14:textId="77777777" w:rsidR="00252E07" w:rsidRPr="00D30A34" w:rsidRDefault="00252E07" w:rsidP="00EA5924">
                  <w:r w:rsidRPr="00D30A34">
                    <w:t>Södra och mellersta Sveriges slättbygde</w:t>
                  </w:r>
                  <w:r>
                    <w:t xml:space="preserve">r: Götalands södra slättbygder </w:t>
                  </w:r>
                  <w:r w:rsidRPr="00D30A34">
                    <w:t>(</w:t>
                  </w:r>
                  <w:proofErr w:type="spellStart"/>
                  <w:r w:rsidRPr="00D30A34">
                    <w:t>Gss</w:t>
                  </w:r>
                  <w:proofErr w:type="spellEnd"/>
                  <w:r w:rsidRPr="00D30A34">
                    <w:t xml:space="preserve">), </w:t>
                  </w:r>
                  <w:r w:rsidRPr="00C5576D">
                    <w:t>Götalands mellanbygder (</w:t>
                  </w:r>
                  <w:proofErr w:type="spellStart"/>
                  <w:r w:rsidRPr="00C5576D">
                    <w:t>Gmb</w:t>
                  </w:r>
                  <w:proofErr w:type="spellEnd"/>
                  <w:r w:rsidRPr="00C5576D">
                    <w:t>),</w:t>
                  </w:r>
                  <w:r w:rsidRPr="00D30A34">
                    <w:t xml:space="preserve"> Götalands norra slättbygder (</w:t>
                  </w:r>
                  <w:proofErr w:type="spellStart"/>
                  <w:r w:rsidRPr="00D30A34">
                    <w:t>Gns</w:t>
                  </w:r>
                  <w:proofErr w:type="spellEnd"/>
                  <w:r w:rsidRPr="00D30A34">
                    <w:t>), Svealands slättbygder (Ss).</w:t>
                  </w:r>
                </w:p>
                <w:p w14:paraId="27353F72" w14:textId="77777777" w:rsidR="00252E07" w:rsidRPr="00D30A34" w:rsidRDefault="00252E07" w:rsidP="00EA5924"/>
              </w:tc>
              <w:tc>
                <w:tcPr>
                  <w:tcW w:w="2126" w:type="dxa"/>
                </w:tcPr>
                <w:p w14:paraId="40CFBB66" w14:textId="77777777" w:rsidR="00252E07" w:rsidRPr="00D30A34" w:rsidRDefault="00252E07" w:rsidP="00EA5924">
                  <w:r w:rsidRPr="00D30A34">
                    <w:t>Jordbruksväxter</w:t>
                  </w:r>
                </w:p>
              </w:tc>
              <w:tc>
                <w:tcPr>
                  <w:tcW w:w="1768" w:type="dxa"/>
                </w:tcPr>
                <w:p w14:paraId="7C5520BA" w14:textId="77777777" w:rsidR="00252E07" w:rsidRPr="00D30A34" w:rsidRDefault="00252E07" w:rsidP="00EA5924">
                  <w:r w:rsidRPr="00D30A34">
                    <w:t>800–1 599</w:t>
                  </w:r>
                </w:p>
              </w:tc>
            </w:tr>
            <w:tr w:rsidR="00252E07" w:rsidRPr="00D30A34" w14:paraId="68B17630" w14:textId="77777777" w:rsidTr="00EA5924">
              <w:trPr>
                <w:trHeight w:val="448"/>
              </w:trPr>
              <w:tc>
                <w:tcPr>
                  <w:tcW w:w="727" w:type="dxa"/>
                  <w:vMerge/>
                </w:tcPr>
                <w:p w14:paraId="60269106" w14:textId="77777777" w:rsidR="00252E07" w:rsidRPr="00D30A34" w:rsidRDefault="00252E07" w:rsidP="00EA5924"/>
              </w:tc>
              <w:tc>
                <w:tcPr>
                  <w:tcW w:w="2835" w:type="dxa"/>
                  <w:vMerge/>
                </w:tcPr>
                <w:p w14:paraId="42968539" w14:textId="77777777" w:rsidR="00252E07" w:rsidRPr="00D30A34" w:rsidRDefault="00252E07" w:rsidP="00EA5924"/>
              </w:tc>
              <w:tc>
                <w:tcPr>
                  <w:tcW w:w="2126" w:type="dxa"/>
                </w:tcPr>
                <w:p w14:paraId="2381A0B8" w14:textId="77777777" w:rsidR="00252E07" w:rsidRPr="00D30A34" w:rsidRDefault="00252E07" w:rsidP="00EA5924">
                  <w:r>
                    <w:t>Jordbruksväxter</w:t>
                  </w:r>
                </w:p>
              </w:tc>
              <w:tc>
                <w:tcPr>
                  <w:tcW w:w="1768" w:type="dxa"/>
                </w:tcPr>
                <w:p w14:paraId="3EFF717C" w14:textId="77777777" w:rsidR="00252E07" w:rsidRPr="00D30A34" w:rsidRDefault="00252E07" w:rsidP="00EA5924">
                  <w:r w:rsidRPr="00D30A34">
                    <w:t>1 600–3 199</w:t>
                  </w:r>
                </w:p>
              </w:tc>
            </w:tr>
            <w:tr w:rsidR="00252E07" w:rsidRPr="00D30A34" w14:paraId="67DAE728" w14:textId="77777777" w:rsidTr="00EA5924">
              <w:trPr>
                <w:trHeight w:val="448"/>
              </w:trPr>
              <w:tc>
                <w:tcPr>
                  <w:tcW w:w="727" w:type="dxa"/>
                  <w:vMerge/>
                </w:tcPr>
                <w:p w14:paraId="7B100EF6" w14:textId="77777777" w:rsidR="00252E07" w:rsidRPr="00D30A34" w:rsidRDefault="00252E07" w:rsidP="00EA5924"/>
              </w:tc>
              <w:tc>
                <w:tcPr>
                  <w:tcW w:w="2835" w:type="dxa"/>
                  <w:vMerge/>
                </w:tcPr>
                <w:p w14:paraId="321AF96A" w14:textId="77777777" w:rsidR="00252E07" w:rsidRPr="00D30A34" w:rsidRDefault="00252E07" w:rsidP="00EA5924"/>
              </w:tc>
              <w:tc>
                <w:tcPr>
                  <w:tcW w:w="2126" w:type="dxa"/>
                </w:tcPr>
                <w:p w14:paraId="4FDF2FB3" w14:textId="77777777" w:rsidR="00252E07" w:rsidRPr="00D30A34" w:rsidRDefault="00252E07" w:rsidP="00EA5924">
                  <w:r>
                    <w:t>Jordbruksväxter</w:t>
                  </w:r>
                </w:p>
              </w:tc>
              <w:tc>
                <w:tcPr>
                  <w:tcW w:w="1768" w:type="dxa"/>
                </w:tcPr>
                <w:p w14:paraId="4035B7D9" w14:textId="77777777" w:rsidR="00252E07" w:rsidRPr="00D30A34" w:rsidRDefault="00252E07" w:rsidP="00FF1B09">
                  <w:r>
                    <w:t>3</w:t>
                  </w:r>
                  <w:r w:rsidRPr="00D30A34">
                    <w:t> </w:t>
                  </w:r>
                  <w:r>
                    <w:t>2</w:t>
                  </w:r>
                  <w:r w:rsidRPr="00D30A34">
                    <w:t>00–</w:t>
                  </w:r>
                  <w:r>
                    <w:t>5</w:t>
                  </w:r>
                  <w:r w:rsidRPr="00D30A34">
                    <w:t xml:space="preserve"> </w:t>
                  </w:r>
                  <w:r>
                    <w:t>599</w:t>
                  </w:r>
                </w:p>
              </w:tc>
            </w:tr>
            <w:tr w:rsidR="00252E07" w:rsidRPr="00D30A34" w14:paraId="7328833B" w14:textId="77777777" w:rsidTr="00EA5924">
              <w:trPr>
                <w:trHeight w:val="364"/>
              </w:trPr>
              <w:tc>
                <w:tcPr>
                  <w:tcW w:w="727" w:type="dxa"/>
                  <w:vMerge/>
                </w:tcPr>
                <w:p w14:paraId="53E2D5E0" w14:textId="77777777" w:rsidR="00252E07" w:rsidRPr="00D30A34" w:rsidRDefault="00252E07" w:rsidP="00EA5924"/>
              </w:tc>
              <w:tc>
                <w:tcPr>
                  <w:tcW w:w="2835" w:type="dxa"/>
                  <w:vMerge/>
                </w:tcPr>
                <w:p w14:paraId="4033E53E" w14:textId="77777777" w:rsidR="00252E07" w:rsidRPr="00D30A34" w:rsidRDefault="00252E07" w:rsidP="00EA5924"/>
              </w:tc>
              <w:tc>
                <w:tcPr>
                  <w:tcW w:w="2126" w:type="dxa"/>
                </w:tcPr>
                <w:p w14:paraId="41A0D466" w14:textId="5F88C38F" w:rsidR="00252E07" w:rsidRPr="00D30A34" w:rsidRDefault="00252E07" w:rsidP="00EA5924">
                  <w:r>
                    <w:t>Mjölk</w:t>
                  </w:r>
                </w:p>
              </w:tc>
              <w:tc>
                <w:tcPr>
                  <w:tcW w:w="1768" w:type="dxa"/>
                </w:tcPr>
                <w:p w14:paraId="08745D36" w14:textId="6303F6ED" w:rsidR="00252E07" w:rsidRPr="00D30A34" w:rsidRDefault="00252E07" w:rsidP="00EA5924">
                  <w:r w:rsidRPr="00D30A34">
                    <w:t>1 600–3</w:t>
                  </w:r>
                  <w:r>
                    <w:t> </w:t>
                  </w:r>
                  <w:r w:rsidRPr="00D30A34">
                    <w:t>199</w:t>
                  </w:r>
                </w:p>
              </w:tc>
            </w:tr>
            <w:tr w:rsidR="00252E07" w:rsidRPr="00D30A34" w14:paraId="2A8BD657" w14:textId="77777777" w:rsidTr="00B56757">
              <w:trPr>
                <w:trHeight w:val="417"/>
              </w:trPr>
              <w:tc>
                <w:tcPr>
                  <w:tcW w:w="727" w:type="dxa"/>
                  <w:vMerge/>
                </w:tcPr>
                <w:p w14:paraId="73AC1DF3" w14:textId="77777777" w:rsidR="00252E07" w:rsidRPr="00D30A34" w:rsidRDefault="00252E07" w:rsidP="00EA5924"/>
              </w:tc>
              <w:tc>
                <w:tcPr>
                  <w:tcW w:w="2835" w:type="dxa"/>
                  <w:vMerge/>
                </w:tcPr>
                <w:p w14:paraId="2D05E47F" w14:textId="77777777" w:rsidR="00252E07" w:rsidRPr="00D30A34" w:rsidRDefault="00252E07" w:rsidP="00EA5924"/>
              </w:tc>
              <w:tc>
                <w:tcPr>
                  <w:tcW w:w="2126" w:type="dxa"/>
                </w:tcPr>
                <w:p w14:paraId="561BA14B" w14:textId="0D7AECC4" w:rsidR="00252E07" w:rsidRDefault="00252E07" w:rsidP="00EA5924">
                  <w:r>
                    <w:t>Mjölk</w:t>
                  </w:r>
                </w:p>
              </w:tc>
              <w:tc>
                <w:tcPr>
                  <w:tcW w:w="1768" w:type="dxa"/>
                </w:tcPr>
                <w:p w14:paraId="7D07AD2F" w14:textId="2092CAE0" w:rsidR="00252E07" w:rsidRPr="00D30A34" w:rsidRDefault="00252E07" w:rsidP="00EA5924">
                  <w:r>
                    <w:t>3 200-5 599</w:t>
                  </w:r>
                </w:p>
              </w:tc>
            </w:tr>
            <w:tr w:rsidR="00FF1B09" w:rsidRPr="00D30A34" w14:paraId="56B09B5E" w14:textId="77777777" w:rsidTr="00EA5924">
              <w:trPr>
                <w:trHeight w:val="326"/>
              </w:trPr>
              <w:tc>
                <w:tcPr>
                  <w:tcW w:w="727" w:type="dxa"/>
                  <w:vMerge w:val="restart"/>
                </w:tcPr>
                <w:p w14:paraId="743F6B7C" w14:textId="77777777" w:rsidR="00FF1B09" w:rsidRPr="00D30A34" w:rsidRDefault="00FF1B09" w:rsidP="00EA5924">
                  <w:r w:rsidRPr="00D30A34">
                    <w:t>RO 2</w:t>
                  </w:r>
                </w:p>
              </w:tc>
              <w:tc>
                <w:tcPr>
                  <w:tcW w:w="2835" w:type="dxa"/>
                  <w:vMerge w:val="restart"/>
                </w:tcPr>
                <w:p w14:paraId="400B7A65" w14:textId="77777777" w:rsidR="00FF1B09" w:rsidRPr="00D30A34" w:rsidRDefault="00FF1B09" w:rsidP="00EA5924">
                  <w:r w:rsidRPr="009C0087">
                    <w:t>Södra och m</w:t>
                  </w:r>
                  <w:r w:rsidR="00C5576D" w:rsidRPr="009C0087">
                    <w:t>ellersta Sveriges skogs</w:t>
                  </w:r>
                  <w:r w:rsidRPr="009C0087">
                    <w:t>bygder:</w:t>
                  </w:r>
                  <w:r w:rsidRPr="00D30A34">
                    <w:t xml:space="preserve"> Götalands skogsbygder (</w:t>
                  </w:r>
                  <w:proofErr w:type="spellStart"/>
                  <w:r w:rsidRPr="00D30A34">
                    <w:t>Gsk</w:t>
                  </w:r>
                  <w:proofErr w:type="spellEnd"/>
                  <w:r w:rsidRPr="00D30A34">
                    <w:t>), Svealands skogsbygder (</w:t>
                  </w:r>
                  <w:proofErr w:type="spellStart"/>
                  <w:r w:rsidRPr="00D30A34">
                    <w:t>Ssk</w:t>
                  </w:r>
                  <w:proofErr w:type="spellEnd"/>
                  <w:r w:rsidRPr="00D30A34">
                    <w:t>).</w:t>
                  </w:r>
                </w:p>
              </w:tc>
              <w:tc>
                <w:tcPr>
                  <w:tcW w:w="2126" w:type="dxa"/>
                </w:tcPr>
                <w:p w14:paraId="13634265" w14:textId="77777777" w:rsidR="00FF1B09" w:rsidRPr="00D30A34" w:rsidRDefault="00FF1B09" w:rsidP="00EA5924">
                  <w:r>
                    <w:t>Mjölk</w:t>
                  </w:r>
                </w:p>
              </w:tc>
              <w:tc>
                <w:tcPr>
                  <w:tcW w:w="1768" w:type="dxa"/>
                </w:tcPr>
                <w:p w14:paraId="61F6DE07" w14:textId="77777777" w:rsidR="00FF1B09" w:rsidRPr="00D30A34" w:rsidRDefault="00FF1B09" w:rsidP="00EA5924">
                  <w:r w:rsidRPr="00D30A34">
                    <w:t>1 600–3 199</w:t>
                  </w:r>
                </w:p>
              </w:tc>
            </w:tr>
            <w:tr w:rsidR="00FF1B09" w:rsidRPr="00D30A34" w14:paraId="78FD0810" w14:textId="77777777" w:rsidTr="00B56757">
              <w:trPr>
                <w:trHeight w:val="570"/>
              </w:trPr>
              <w:tc>
                <w:tcPr>
                  <w:tcW w:w="727" w:type="dxa"/>
                  <w:vMerge/>
                </w:tcPr>
                <w:p w14:paraId="50454368" w14:textId="77777777" w:rsidR="00FF1B09" w:rsidRPr="00D30A34" w:rsidRDefault="00FF1B09" w:rsidP="00EA5924"/>
              </w:tc>
              <w:tc>
                <w:tcPr>
                  <w:tcW w:w="2835" w:type="dxa"/>
                  <w:vMerge/>
                </w:tcPr>
                <w:p w14:paraId="0C37D9F5" w14:textId="77777777" w:rsidR="00FF1B09" w:rsidRPr="00D30A34" w:rsidRDefault="00FF1B09" w:rsidP="00EA5924"/>
              </w:tc>
              <w:tc>
                <w:tcPr>
                  <w:tcW w:w="2126" w:type="dxa"/>
                </w:tcPr>
                <w:p w14:paraId="55B13211" w14:textId="77777777" w:rsidR="003E122A" w:rsidRDefault="003E122A" w:rsidP="00EA5924"/>
                <w:p w14:paraId="09DA9A82" w14:textId="77777777" w:rsidR="00FF1B09" w:rsidRPr="00D30A34" w:rsidRDefault="00FF1B09" w:rsidP="00EA5924">
                  <w:r>
                    <w:t>Mjölk</w:t>
                  </w:r>
                </w:p>
              </w:tc>
              <w:tc>
                <w:tcPr>
                  <w:tcW w:w="1768" w:type="dxa"/>
                </w:tcPr>
                <w:p w14:paraId="22662905" w14:textId="77777777" w:rsidR="003E122A" w:rsidRDefault="003E122A" w:rsidP="00EA5924"/>
                <w:p w14:paraId="44407CB5" w14:textId="77777777" w:rsidR="00FF1B09" w:rsidRPr="00D30A34" w:rsidRDefault="00FF1B09" w:rsidP="00EA5924">
                  <w:r w:rsidRPr="00D30A34">
                    <w:t>3 200–5 599</w:t>
                  </w:r>
                </w:p>
              </w:tc>
            </w:tr>
            <w:tr w:rsidR="00252E07" w:rsidRPr="00D30A34" w14:paraId="426B0DB1" w14:textId="77777777" w:rsidTr="00EA5924">
              <w:trPr>
                <w:trHeight w:val="597"/>
              </w:trPr>
              <w:tc>
                <w:tcPr>
                  <w:tcW w:w="727" w:type="dxa"/>
                  <w:vMerge w:val="restart"/>
                </w:tcPr>
                <w:p w14:paraId="1E2B45A0" w14:textId="77777777" w:rsidR="00252E07" w:rsidRPr="00D30A34" w:rsidRDefault="00252E07" w:rsidP="00EA5924">
                  <w:r w:rsidRPr="00D30A34">
                    <w:t>RO 3</w:t>
                  </w:r>
                </w:p>
              </w:tc>
              <w:tc>
                <w:tcPr>
                  <w:tcW w:w="2835" w:type="dxa"/>
                  <w:vMerge w:val="restart"/>
                </w:tcPr>
                <w:p w14:paraId="7D1ACFAE" w14:textId="77777777" w:rsidR="00252E07" w:rsidRPr="00D30A34" w:rsidRDefault="00252E07" w:rsidP="00EA5924">
                  <w:r w:rsidRPr="00D30A34">
                    <w:t>Norra Sverige: Nedre Norrland (</w:t>
                  </w:r>
                  <w:proofErr w:type="spellStart"/>
                  <w:r w:rsidRPr="00D30A34">
                    <w:t>Nn</w:t>
                  </w:r>
                  <w:proofErr w:type="spellEnd"/>
                  <w:r w:rsidRPr="00D30A34">
                    <w:t>), Övre Norrland (</w:t>
                  </w:r>
                  <w:proofErr w:type="spellStart"/>
                  <w:r w:rsidRPr="00D30A34">
                    <w:t>Nö</w:t>
                  </w:r>
                  <w:proofErr w:type="spellEnd"/>
                  <w:r w:rsidRPr="00D30A34">
                    <w:t>).</w:t>
                  </w:r>
                </w:p>
                <w:p w14:paraId="089E4E22" w14:textId="77777777" w:rsidR="00252E07" w:rsidRPr="00D30A34" w:rsidRDefault="00252E07" w:rsidP="00EA5924"/>
              </w:tc>
              <w:tc>
                <w:tcPr>
                  <w:tcW w:w="2126" w:type="dxa"/>
                </w:tcPr>
                <w:p w14:paraId="59E68456" w14:textId="0F0942F6" w:rsidR="00252E07" w:rsidRPr="00D30A34" w:rsidRDefault="00252E07" w:rsidP="00EA5924">
                  <w:r>
                    <w:t>Mjölk</w:t>
                  </w:r>
                </w:p>
              </w:tc>
              <w:tc>
                <w:tcPr>
                  <w:tcW w:w="1768" w:type="dxa"/>
                </w:tcPr>
                <w:p w14:paraId="2DFC4836" w14:textId="094721B2" w:rsidR="00252E07" w:rsidRPr="00D30A34" w:rsidRDefault="00252E07" w:rsidP="00EA5924">
                  <w:r w:rsidRPr="00D30A34">
                    <w:t>1 600–3</w:t>
                  </w:r>
                  <w:r>
                    <w:t> </w:t>
                  </w:r>
                  <w:r w:rsidRPr="00D30A34">
                    <w:t>199</w:t>
                  </w:r>
                </w:p>
              </w:tc>
            </w:tr>
            <w:tr w:rsidR="00252E07" w:rsidRPr="00D30A34" w14:paraId="45AC711C" w14:textId="77777777" w:rsidTr="00B56757">
              <w:trPr>
                <w:trHeight w:val="399"/>
              </w:trPr>
              <w:tc>
                <w:tcPr>
                  <w:tcW w:w="727" w:type="dxa"/>
                  <w:vMerge/>
                </w:tcPr>
                <w:p w14:paraId="73750802" w14:textId="77777777" w:rsidR="00252E07" w:rsidRPr="00D30A34" w:rsidRDefault="00252E07" w:rsidP="00EA5924"/>
              </w:tc>
              <w:tc>
                <w:tcPr>
                  <w:tcW w:w="2835" w:type="dxa"/>
                  <w:vMerge/>
                </w:tcPr>
                <w:p w14:paraId="6BC13022" w14:textId="77777777" w:rsidR="00252E07" w:rsidRPr="00D30A34" w:rsidRDefault="00252E07" w:rsidP="00EA5924"/>
              </w:tc>
              <w:tc>
                <w:tcPr>
                  <w:tcW w:w="2126" w:type="dxa"/>
                </w:tcPr>
                <w:p w14:paraId="6D60687B" w14:textId="6AD1D01D" w:rsidR="00252E07" w:rsidRDefault="00252E07" w:rsidP="00EA5924">
                  <w:r>
                    <w:t>Mjölk</w:t>
                  </w:r>
                </w:p>
              </w:tc>
              <w:tc>
                <w:tcPr>
                  <w:tcW w:w="1768" w:type="dxa"/>
                </w:tcPr>
                <w:p w14:paraId="269538B0" w14:textId="7672D731" w:rsidR="00252E07" w:rsidRPr="00D30A34" w:rsidRDefault="00252E07" w:rsidP="00EA5924">
                  <w:r>
                    <w:t>3 200-5 599</w:t>
                  </w:r>
                </w:p>
              </w:tc>
            </w:tr>
            <w:tr w:rsidR="00B56757" w:rsidRPr="00D30A34" w14:paraId="2706BC6C" w14:textId="77777777" w:rsidTr="00EA5924">
              <w:trPr>
                <w:trHeight w:val="485"/>
              </w:trPr>
              <w:tc>
                <w:tcPr>
                  <w:tcW w:w="727" w:type="dxa"/>
                  <w:vMerge w:val="restart"/>
                </w:tcPr>
                <w:p w14:paraId="1FF9237B" w14:textId="77777777" w:rsidR="00B56757" w:rsidRPr="00D30A34" w:rsidRDefault="00B56757" w:rsidP="00EA5924">
                  <w:r w:rsidRPr="00D30A34">
                    <w:t>Riket</w:t>
                  </w:r>
                </w:p>
              </w:tc>
              <w:tc>
                <w:tcPr>
                  <w:tcW w:w="2835" w:type="dxa"/>
                  <w:vMerge w:val="restart"/>
                </w:tcPr>
                <w:p w14:paraId="33D2F9E7" w14:textId="77777777" w:rsidR="00B56757" w:rsidRDefault="00B56757" w:rsidP="00EA5924">
                  <w:r>
                    <w:t>Hela landet:</w:t>
                  </w:r>
                </w:p>
                <w:p w14:paraId="3FC9F30D" w14:textId="1A0FA057" w:rsidR="00B56757" w:rsidRPr="00D30A34" w:rsidRDefault="00B56757" w:rsidP="00A633C2">
                  <w:r>
                    <w:t xml:space="preserve">Götalands södra slättbygder </w:t>
                  </w:r>
                  <w:r w:rsidRPr="00D30A34">
                    <w:t>(</w:t>
                  </w:r>
                  <w:proofErr w:type="spellStart"/>
                  <w:r w:rsidRPr="00D30A34">
                    <w:t>Gss</w:t>
                  </w:r>
                  <w:proofErr w:type="spellEnd"/>
                  <w:r w:rsidRPr="00D30A34">
                    <w:t xml:space="preserve">), </w:t>
                  </w:r>
                  <w:r w:rsidRPr="00C5576D">
                    <w:t>Götalands mellanbygder (</w:t>
                  </w:r>
                  <w:proofErr w:type="spellStart"/>
                  <w:r w:rsidRPr="00C5576D">
                    <w:t>Gmb</w:t>
                  </w:r>
                  <w:proofErr w:type="spellEnd"/>
                  <w:r w:rsidRPr="00C5576D">
                    <w:t>),</w:t>
                  </w:r>
                  <w:r w:rsidRPr="00D30A34">
                    <w:t xml:space="preserve"> Götalands norra slättbygder (</w:t>
                  </w:r>
                  <w:proofErr w:type="spellStart"/>
                  <w:r w:rsidRPr="00D30A34">
                    <w:t>Gns</w:t>
                  </w:r>
                  <w:proofErr w:type="spellEnd"/>
                  <w:r w:rsidRPr="00D30A34">
                    <w:t>), Svealands slättbygder (Ss)</w:t>
                  </w:r>
                  <w:r>
                    <w:t xml:space="preserve"> </w:t>
                  </w:r>
                  <w:r w:rsidRPr="00D30A34">
                    <w:t>Götalands skogsbygder (</w:t>
                  </w:r>
                  <w:proofErr w:type="spellStart"/>
                  <w:r w:rsidRPr="00D30A34">
                    <w:t>Gsk</w:t>
                  </w:r>
                  <w:proofErr w:type="spellEnd"/>
                  <w:r w:rsidRPr="00D30A34">
                    <w:t>), Svealands skogsbygder (</w:t>
                  </w:r>
                  <w:proofErr w:type="spellStart"/>
                  <w:r w:rsidRPr="00D30A34">
                    <w:t>Ssk</w:t>
                  </w:r>
                  <w:proofErr w:type="spellEnd"/>
                  <w:r w:rsidRPr="00D30A34">
                    <w:t>)</w:t>
                  </w:r>
                  <w:r>
                    <w:t>,</w:t>
                  </w:r>
                  <w:r w:rsidRPr="00D30A34">
                    <w:t xml:space="preserve"> Nedre No</w:t>
                  </w:r>
                  <w:r>
                    <w:t>rrland (</w:t>
                  </w:r>
                  <w:proofErr w:type="spellStart"/>
                  <w:r>
                    <w:t>Nn</w:t>
                  </w:r>
                  <w:proofErr w:type="spellEnd"/>
                  <w:r>
                    <w:t>), Övre Norrland (</w:t>
                  </w:r>
                  <w:proofErr w:type="spellStart"/>
                  <w:r>
                    <w:t>Nö</w:t>
                  </w:r>
                  <w:proofErr w:type="spellEnd"/>
                  <w:r>
                    <w:t>).</w:t>
                  </w:r>
                </w:p>
              </w:tc>
              <w:tc>
                <w:tcPr>
                  <w:tcW w:w="2126" w:type="dxa"/>
                </w:tcPr>
                <w:p w14:paraId="417E1549" w14:textId="77777777" w:rsidR="00B56757" w:rsidRPr="00D30A34" w:rsidRDefault="00B56757" w:rsidP="00EA5924">
                  <w:r w:rsidRPr="00D30A34">
                    <w:t>Mjölk</w:t>
                  </w:r>
                </w:p>
              </w:tc>
              <w:tc>
                <w:tcPr>
                  <w:tcW w:w="1768" w:type="dxa"/>
                </w:tcPr>
                <w:p w14:paraId="1D036A03" w14:textId="77777777" w:rsidR="00B56757" w:rsidRPr="00D30A34" w:rsidRDefault="00B56757" w:rsidP="00EA5924">
                  <w:r w:rsidRPr="00D30A34">
                    <w:t>1 600–3 199</w:t>
                  </w:r>
                </w:p>
              </w:tc>
            </w:tr>
            <w:tr w:rsidR="00B56757" w:rsidRPr="00D30A34" w14:paraId="37B9C173" w14:textId="77777777" w:rsidTr="00EA5924">
              <w:trPr>
                <w:trHeight w:val="503"/>
              </w:trPr>
              <w:tc>
                <w:tcPr>
                  <w:tcW w:w="727" w:type="dxa"/>
                  <w:vMerge/>
                </w:tcPr>
                <w:p w14:paraId="48775213" w14:textId="77777777" w:rsidR="00B56757" w:rsidRPr="00D30A34" w:rsidRDefault="00B56757" w:rsidP="00EA5924"/>
              </w:tc>
              <w:tc>
                <w:tcPr>
                  <w:tcW w:w="2835" w:type="dxa"/>
                  <w:vMerge/>
                </w:tcPr>
                <w:p w14:paraId="249490C0" w14:textId="77777777" w:rsidR="00B56757" w:rsidRPr="00D30A34" w:rsidRDefault="00B56757" w:rsidP="00EA5924"/>
              </w:tc>
              <w:tc>
                <w:tcPr>
                  <w:tcW w:w="2126" w:type="dxa"/>
                </w:tcPr>
                <w:p w14:paraId="7281D42A" w14:textId="77777777" w:rsidR="00B56757" w:rsidRPr="00D30A34" w:rsidRDefault="00B56757" w:rsidP="00EA5924">
                  <w:r>
                    <w:t>Mjölk</w:t>
                  </w:r>
                </w:p>
              </w:tc>
              <w:tc>
                <w:tcPr>
                  <w:tcW w:w="1768" w:type="dxa"/>
                </w:tcPr>
                <w:p w14:paraId="79B534DB" w14:textId="77777777" w:rsidR="00B56757" w:rsidRPr="00D30A34" w:rsidRDefault="00B56757" w:rsidP="00EA5924">
                  <w:r w:rsidRPr="00D30A34">
                    <w:t>3 200–5 599</w:t>
                  </w:r>
                </w:p>
              </w:tc>
            </w:tr>
            <w:tr w:rsidR="00B56757" w:rsidRPr="00D30A34" w14:paraId="64CCDF16" w14:textId="77777777" w:rsidTr="00EA5924">
              <w:trPr>
                <w:trHeight w:val="556"/>
              </w:trPr>
              <w:tc>
                <w:tcPr>
                  <w:tcW w:w="727" w:type="dxa"/>
                  <w:vMerge/>
                </w:tcPr>
                <w:p w14:paraId="6C3F3769" w14:textId="77777777" w:rsidR="00B56757" w:rsidRPr="00D30A34" w:rsidRDefault="00B56757" w:rsidP="00EA5924"/>
              </w:tc>
              <w:tc>
                <w:tcPr>
                  <w:tcW w:w="2835" w:type="dxa"/>
                  <w:vMerge/>
                </w:tcPr>
                <w:p w14:paraId="503DA0CB" w14:textId="77777777" w:rsidR="00B56757" w:rsidRPr="00D30A34" w:rsidRDefault="00B56757" w:rsidP="00EA5924"/>
              </w:tc>
              <w:tc>
                <w:tcPr>
                  <w:tcW w:w="2126" w:type="dxa"/>
                </w:tcPr>
                <w:p w14:paraId="674E6A14" w14:textId="77777777" w:rsidR="00B56757" w:rsidRPr="00D30A34" w:rsidRDefault="00B56757" w:rsidP="00EA5924">
                  <w:r>
                    <w:t>Mjölk</w:t>
                  </w:r>
                </w:p>
              </w:tc>
              <w:tc>
                <w:tcPr>
                  <w:tcW w:w="1768" w:type="dxa"/>
                </w:tcPr>
                <w:p w14:paraId="46487568" w14:textId="77777777" w:rsidR="00B56757" w:rsidRPr="00D30A34" w:rsidRDefault="00B56757" w:rsidP="00EA5924">
                  <w:r w:rsidRPr="00D30A34">
                    <w:t>5 600–</w:t>
                  </w:r>
                </w:p>
              </w:tc>
            </w:tr>
            <w:tr w:rsidR="00B56757" w:rsidRPr="00D30A34" w14:paraId="72DDDDD0" w14:textId="77777777" w:rsidTr="00B56757">
              <w:trPr>
                <w:trHeight w:val="426"/>
              </w:trPr>
              <w:tc>
                <w:tcPr>
                  <w:tcW w:w="727" w:type="dxa"/>
                  <w:vMerge/>
                </w:tcPr>
                <w:p w14:paraId="229733B3" w14:textId="77777777" w:rsidR="00B56757" w:rsidRPr="00D30A34" w:rsidRDefault="00B56757" w:rsidP="00EA5924"/>
              </w:tc>
              <w:tc>
                <w:tcPr>
                  <w:tcW w:w="2835" w:type="dxa"/>
                  <w:vMerge/>
                </w:tcPr>
                <w:p w14:paraId="1DA7124D" w14:textId="77777777" w:rsidR="00B56757" w:rsidRPr="00D30A34" w:rsidRDefault="00B56757" w:rsidP="00EA5924"/>
              </w:tc>
              <w:tc>
                <w:tcPr>
                  <w:tcW w:w="2126" w:type="dxa"/>
                </w:tcPr>
                <w:p w14:paraId="3CFB13A1" w14:textId="277305C2" w:rsidR="00B56757" w:rsidRPr="00D30A34" w:rsidRDefault="00B56757" w:rsidP="00B56757">
                  <w:r w:rsidRPr="00D30A34">
                    <w:t>Köttdjur</w:t>
                  </w:r>
                </w:p>
              </w:tc>
              <w:tc>
                <w:tcPr>
                  <w:tcW w:w="1768" w:type="dxa"/>
                </w:tcPr>
                <w:p w14:paraId="7180BCF4" w14:textId="49FAF74D" w:rsidR="00B56757" w:rsidRPr="00D30A34" w:rsidRDefault="00B56757" w:rsidP="00EA5924">
                  <w:r w:rsidRPr="00D30A34">
                    <w:t>800–3</w:t>
                  </w:r>
                  <w:r>
                    <w:t> 199</w:t>
                  </w:r>
                </w:p>
              </w:tc>
            </w:tr>
            <w:tr w:rsidR="00B56757" w:rsidRPr="00D30A34" w14:paraId="0D305C63" w14:textId="77777777" w:rsidTr="00B56757">
              <w:trPr>
                <w:trHeight w:val="435"/>
              </w:trPr>
              <w:tc>
                <w:tcPr>
                  <w:tcW w:w="727" w:type="dxa"/>
                  <w:vMerge/>
                </w:tcPr>
                <w:p w14:paraId="4CAE9615" w14:textId="77777777" w:rsidR="00B56757" w:rsidRPr="00D30A34" w:rsidRDefault="00B56757" w:rsidP="00EA5924"/>
              </w:tc>
              <w:tc>
                <w:tcPr>
                  <w:tcW w:w="2835" w:type="dxa"/>
                  <w:vMerge/>
                </w:tcPr>
                <w:p w14:paraId="60C0942B" w14:textId="77777777" w:rsidR="00B56757" w:rsidRPr="00D30A34" w:rsidRDefault="00B56757" w:rsidP="00EA5924"/>
              </w:tc>
              <w:tc>
                <w:tcPr>
                  <w:tcW w:w="2126" w:type="dxa"/>
                </w:tcPr>
                <w:p w14:paraId="57012F14" w14:textId="278B24EB" w:rsidR="00B56757" w:rsidRPr="00D30A34" w:rsidRDefault="00B56757" w:rsidP="00EA5924">
                  <w:r>
                    <w:t>Köttdjur</w:t>
                  </w:r>
                </w:p>
              </w:tc>
              <w:tc>
                <w:tcPr>
                  <w:tcW w:w="1768" w:type="dxa"/>
                </w:tcPr>
                <w:p w14:paraId="6377FCF6" w14:textId="63B7AEA3" w:rsidR="00B56757" w:rsidRPr="00D30A34" w:rsidRDefault="00B56757" w:rsidP="00EA5924">
                  <w:r>
                    <w:t>3 200-5 599</w:t>
                  </w:r>
                </w:p>
              </w:tc>
            </w:tr>
            <w:tr w:rsidR="00B56757" w:rsidRPr="00D30A34" w14:paraId="5414793F" w14:textId="77777777" w:rsidTr="00B56757">
              <w:trPr>
                <w:trHeight w:val="534"/>
              </w:trPr>
              <w:tc>
                <w:tcPr>
                  <w:tcW w:w="727" w:type="dxa"/>
                  <w:vMerge/>
                </w:tcPr>
                <w:p w14:paraId="44937A76" w14:textId="77777777" w:rsidR="00B56757" w:rsidRPr="00D30A34" w:rsidRDefault="00B56757" w:rsidP="00EA5924"/>
              </w:tc>
              <w:tc>
                <w:tcPr>
                  <w:tcW w:w="2835" w:type="dxa"/>
                  <w:vMerge/>
                </w:tcPr>
                <w:p w14:paraId="68CDCB1E" w14:textId="77777777" w:rsidR="00B56757" w:rsidRPr="00D30A34" w:rsidRDefault="00B56757" w:rsidP="00EA5924"/>
              </w:tc>
              <w:tc>
                <w:tcPr>
                  <w:tcW w:w="2126" w:type="dxa"/>
                </w:tcPr>
                <w:p w14:paraId="463DBEF6" w14:textId="5CD3E66D" w:rsidR="00B56757" w:rsidRPr="00D30A34" w:rsidRDefault="00B56757" w:rsidP="00EA5924">
                  <w:r>
                    <w:t>Svin</w:t>
                  </w:r>
                </w:p>
              </w:tc>
              <w:tc>
                <w:tcPr>
                  <w:tcW w:w="1768" w:type="dxa"/>
                </w:tcPr>
                <w:p w14:paraId="04CD53CC" w14:textId="51B65488" w:rsidR="00B56757" w:rsidRPr="00D30A34" w:rsidRDefault="00B56757" w:rsidP="00EA5924">
                  <w:r w:rsidRPr="00D30A34">
                    <w:t>1 600–5</w:t>
                  </w:r>
                  <w:r>
                    <w:t> </w:t>
                  </w:r>
                  <w:r w:rsidRPr="00D30A34">
                    <w:t>599</w:t>
                  </w:r>
                </w:p>
              </w:tc>
            </w:tr>
            <w:tr w:rsidR="00B56757" w:rsidRPr="00D30A34" w14:paraId="23370872" w14:textId="77777777" w:rsidTr="00B56757">
              <w:trPr>
                <w:trHeight w:val="525"/>
              </w:trPr>
              <w:tc>
                <w:tcPr>
                  <w:tcW w:w="727" w:type="dxa"/>
                  <w:vMerge/>
                </w:tcPr>
                <w:p w14:paraId="74BCCBF5" w14:textId="77777777" w:rsidR="00B56757" w:rsidRPr="00D30A34" w:rsidRDefault="00B56757" w:rsidP="00EA5924"/>
              </w:tc>
              <w:tc>
                <w:tcPr>
                  <w:tcW w:w="2835" w:type="dxa"/>
                  <w:vMerge/>
                </w:tcPr>
                <w:p w14:paraId="09E960B5" w14:textId="77777777" w:rsidR="00B56757" w:rsidRPr="00D30A34" w:rsidRDefault="00B56757" w:rsidP="00EA5924"/>
              </w:tc>
              <w:tc>
                <w:tcPr>
                  <w:tcW w:w="2126" w:type="dxa"/>
                </w:tcPr>
                <w:p w14:paraId="592FA60B" w14:textId="415A14FA" w:rsidR="00B56757" w:rsidRPr="00D30A34" w:rsidRDefault="00B56757" w:rsidP="00EA5924">
                  <w:r>
                    <w:t>Svin</w:t>
                  </w:r>
                </w:p>
              </w:tc>
              <w:tc>
                <w:tcPr>
                  <w:tcW w:w="1768" w:type="dxa"/>
                </w:tcPr>
                <w:p w14:paraId="1401C6DF" w14:textId="3F40B44A" w:rsidR="00B56757" w:rsidRPr="00D30A34" w:rsidRDefault="00B56757" w:rsidP="00EA5924">
                  <w:r>
                    <w:t>5 600-</w:t>
                  </w:r>
                </w:p>
              </w:tc>
            </w:tr>
          </w:tbl>
          <w:p w14:paraId="307C524F" w14:textId="77777777" w:rsidR="00FF1B09" w:rsidRPr="00D30A34" w:rsidRDefault="00FF1B09" w:rsidP="00EA5924"/>
          <w:p w14:paraId="2C6E742C" w14:textId="46F7E643" w:rsidR="00FF1B09" w:rsidRDefault="00FF1B09" w:rsidP="00EA5924"/>
          <w:p w14:paraId="2F497195" w14:textId="55496803" w:rsidR="00B56757" w:rsidRDefault="00B56757" w:rsidP="00EA5924"/>
          <w:p w14:paraId="7C28258F" w14:textId="21196641" w:rsidR="00B56757" w:rsidRDefault="00B56757" w:rsidP="00EA5924"/>
          <w:p w14:paraId="66748A1A" w14:textId="6753331A" w:rsidR="00B56757" w:rsidRDefault="00B56757" w:rsidP="00EA5924"/>
          <w:p w14:paraId="7DDC4ED3" w14:textId="77777777" w:rsidR="00B56757" w:rsidRDefault="00B56757" w:rsidP="00EA5924"/>
          <w:tbl>
            <w:tblPr>
              <w:tblW w:w="8113" w:type="dxa"/>
              <w:tblLayout w:type="fixed"/>
              <w:tblCellMar>
                <w:left w:w="70" w:type="dxa"/>
                <w:right w:w="70" w:type="dxa"/>
              </w:tblCellMar>
              <w:tblLook w:val="0000" w:firstRow="0" w:lastRow="0" w:firstColumn="0" w:lastColumn="0" w:noHBand="0" w:noVBand="0"/>
            </w:tblPr>
            <w:tblGrid>
              <w:gridCol w:w="8113"/>
            </w:tblGrid>
            <w:tr w:rsidR="00FF1B09" w14:paraId="2CAC5D00" w14:textId="77777777" w:rsidTr="00EA5924">
              <w:tc>
                <w:tcPr>
                  <w:tcW w:w="8113" w:type="dxa"/>
                  <w:tcBorders>
                    <w:top w:val="nil"/>
                    <w:left w:val="nil"/>
                    <w:bottom w:val="nil"/>
                    <w:right w:val="nil"/>
                  </w:tcBorders>
                </w:tcPr>
                <w:p w14:paraId="246B7CCD" w14:textId="77777777" w:rsidR="00597B5F" w:rsidRDefault="00597B5F" w:rsidP="00EA5924"/>
                <w:p w14:paraId="4A9F7C85" w14:textId="4423CD1A" w:rsidR="00FF1B09" w:rsidRDefault="00C5576D" w:rsidP="00EA5924">
                  <w:r>
                    <w:t xml:space="preserve">I </w:t>
                  </w:r>
                  <w:r w:rsidR="00FF1B09">
                    <w:t>statistiken görs dessutom en redovisning efter EU:s ty</w:t>
                  </w:r>
                  <w:r w:rsidR="0000716F">
                    <w:t>pologi med i</w:t>
                  </w:r>
                  <w:r w:rsidR="009622D2">
                    <w:t>n</w:t>
                  </w:r>
                  <w:r w:rsidR="0000716F">
                    <w:t>delning</w:t>
                  </w:r>
                  <w:r w:rsidR="00FF1B09">
                    <w:t>:</w:t>
                  </w:r>
                </w:p>
                <w:p w14:paraId="6378CF0F" w14:textId="77777777" w:rsidR="00FF1B09" w:rsidRDefault="00FF1B09" w:rsidP="00EA5924"/>
              </w:tc>
            </w:tr>
            <w:tr w:rsidR="00FF1B09" w14:paraId="66D61B43" w14:textId="77777777" w:rsidTr="00EA5924">
              <w:trPr>
                <w:trHeight w:val="8281"/>
              </w:trPr>
              <w:tc>
                <w:tcPr>
                  <w:tcW w:w="8113" w:type="dxa"/>
                  <w:tcBorders>
                    <w:top w:val="nil"/>
                    <w:left w:val="nil"/>
                    <w:bottom w:val="nil"/>
                    <w:right w:val="nil"/>
                  </w:tcBorders>
                </w:tcPr>
                <w:tbl>
                  <w:tblPr>
                    <w:tblW w:w="74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2552"/>
                    <w:gridCol w:w="1984"/>
                    <w:gridCol w:w="2193"/>
                  </w:tblGrid>
                  <w:tr w:rsidR="00FF1B09" w:rsidRPr="001E5BCB" w14:paraId="764535A5" w14:textId="77777777" w:rsidTr="00EA5924">
                    <w:trPr>
                      <w:trHeight w:val="624"/>
                    </w:trPr>
                    <w:tc>
                      <w:tcPr>
                        <w:tcW w:w="3279" w:type="dxa"/>
                        <w:gridSpan w:val="2"/>
                      </w:tcPr>
                      <w:p w14:paraId="6B7887B6" w14:textId="77777777" w:rsidR="00FF1B09" w:rsidRPr="001E5BCB" w:rsidRDefault="00FF1B09" w:rsidP="00EA5924">
                        <w:pPr>
                          <w:rPr>
                            <w:b/>
                          </w:rPr>
                        </w:pPr>
                        <w:bookmarkStart w:id="69" w:name="OLE_LINK1"/>
                        <w:proofErr w:type="spellStart"/>
                        <w:r w:rsidRPr="001E5BCB">
                          <w:rPr>
                            <w:b/>
                          </w:rPr>
                          <w:t>Länsgrupp</w:t>
                        </w:r>
                        <w:proofErr w:type="spellEnd"/>
                      </w:p>
                    </w:tc>
                    <w:tc>
                      <w:tcPr>
                        <w:tcW w:w="1984" w:type="dxa"/>
                      </w:tcPr>
                      <w:p w14:paraId="099C6644" w14:textId="1CFB2931" w:rsidR="00FF1B09" w:rsidRPr="001E5BCB" w:rsidRDefault="00FF1B09" w:rsidP="00A633C2">
                        <w:pPr>
                          <w:rPr>
                            <w:b/>
                          </w:rPr>
                        </w:pPr>
                        <w:r w:rsidRPr="001E5BCB">
                          <w:rPr>
                            <w:b/>
                          </w:rPr>
                          <w:t>Drifts</w:t>
                        </w:r>
                        <w:r w:rsidR="00A633C2">
                          <w:rPr>
                            <w:b/>
                          </w:rPr>
                          <w:t>i</w:t>
                        </w:r>
                        <w:r w:rsidRPr="001E5BCB">
                          <w:rPr>
                            <w:b/>
                          </w:rPr>
                          <w:t>nriktning</w:t>
                        </w:r>
                      </w:p>
                    </w:tc>
                    <w:tc>
                      <w:tcPr>
                        <w:tcW w:w="2193" w:type="dxa"/>
                      </w:tcPr>
                      <w:p w14:paraId="500BF866" w14:textId="6A67FDE9" w:rsidR="00FF1B09" w:rsidRPr="001E5BCB" w:rsidRDefault="00FF1B09" w:rsidP="00EA5924">
                        <w:pPr>
                          <w:rPr>
                            <w:b/>
                          </w:rPr>
                        </w:pPr>
                        <w:r w:rsidRPr="001E5BCB">
                          <w:rPr>
                            <w:b/>
                          </w:rPr>
                          <w:t>Ekonomisk storleksklass (</w:t>
                        </w:r>
                        <w:r w:rsidR="00A633C2">
                          <w:rPr>
                            <w:b/>
                          </w:rPr>
                          <w:t>e</w:t>
                        </w:r>
                        <w:r w:rsidRPr="001E5BCB">
                          <w:rPr>
                            <w:b/>
                          </w:rPr>
                          <w:t>uro)</w:t>
                        </w:r>
                      </w:p>
                    </w:tc>
                  </w:tr>
                  <w:tr w:rsidR="00FF1B09" w:rsidRPr="001E5BCB" w14:paraId="13635B90" w14:textId="77777777" w:rsidTr="00EA5924">
                    <w:trPr>
                      <w:trHeight w:val="397"/>
                    </w:trPr>
                    <w:tc>
                      <w:tcPr>
                        <w:tcW w:w="727" w:type="dxa"/>
                        <w:vMerge w:val="restart"/>
                      </w:tcPr>
                      <w:p w14:paraId="5827FDEA" w14:textId="77777777" w:rsidR="00FF1B09" w:rsidRPr="001E5BCB" w:rsidRDefault="00FF1B09" w:rsidP="00EA5924">
                        <w:r w:rsidRPr="001E5BCB">
                          <w:t>1</w:t>
                        </w:r>
                      </w:p>
                    </w:tc>
                    <w:tc>
                      <w:tcPr>
                        <w:tcW w:w="2552" w:type="dxa"/>
                        <w:vMerge w:val="restart"/>
                      </w:tcPr>
                      <w:p w14:paraId="1144E755" w14:textId="77777777" w:rsidR="00FF1B09" w:rsidRPr="001E5BCB" w:rsidRDefault="00FF1B09" w:rsidP="00EA5924">
                        <w:r w:rsidRPr="001E5BCB">
                          <w:t>Stockholms, Uppsala, Södermanlands, Östergötlands, Blekinge, Skåne, Hallands, del av Västra Götalands (f.d. Skaraborgs), Örebro och Västmanlands län.</w:t>
                        </w:r>
                      </w:p>
                    </w:tc>
                    <w:tc>
                      <w:tcPr>
                        <w:tcW w:w="1984" w:type="dxa"/>
                      </w:tcPr>
                      <w:p w14:paraId="1B6B5BE2" w14:textId="77777777" w:rsidR="00FF1B09" w:rsidRPr="001E5BCB" w:rsidRDefault="00FF1B09" w:rsidP="00EA5924">
                        <w:r w:rsidRPr="001E5BCB">
                          <w:t>Spannmål</w:t>
                        </w:r>
                      </w:p>
                    </w:tc>
                    <w:tc>
                      <w:tcPr>
                        <w:tcW w:w="2193" w:type="dxa"/>
                      </w:tcPr>
                      <w:p w14:paraId="00B0A2D4" w14:textId="77777777" w:rsidR="00FF1B09" w:rsidRPr="001E5BCB" w:rsidRDefault="00FF1B09" w:rsidP="00EA5924">
                        <w:r w:rsidRPr="001E5BCB">
                          <w:t>15 000–99 999</w:t>
                        </w:r>
                      </w:p>
                    </w:tc>
                  </w:tr>
                  <w:tr w:rsidR="00FF1B09" w:rsidRPr="001E5BCB" w14:paraId="0BFC5D84" w14:textId="77777777" w:rsidTr="00EA5924">
                    <w:trPr>
                      <w:trHeight w:val="448"/>
                    </w:trPr>
                    <w:tc>
                      <w:tcPr>
                        <w:tcW w:w="727" w:type="dxa"/>
                        <w:vMerge/>
                      </w:tcPr>
                      <w:p w14:paraId="65BC4DCC" w14:textId="77777777" w:rsidR="00FF1B09" w:rsidRPr="001E5BCB" w:rsidRDefault="00FF1B09" w:rsidP="00EA5924"/>
                    </w:tc>
                    <w:tc>
                      <w:tcPr>
                        <w:tcW w:w="2552" w:type="dxa"/>
                        <w:vMerge/>
                      </w:tcPr>
                      <w:p w14:paraId="04017014" w14:textId="77777777" w:rsidR="00FF1B09" w:rsidRPr="001E5BCB" w:rsidRDefault="00FF1B09" w:rsidP="00EA5924"/>
                    </w:tc>
                    <w:tc>
                      <w:tcPr>
                        <w:tcW w:w="1984" w:type="dxa"/>
                      </w:tcPr>
                      <w:p w14:paraId="46356CB5" w14:textId="77777777" w:rsidR="00FF1B09" w:rsidRPr="001E5BCB" w:rsidRDefault="00C5576D" w:rsidP="00EA5924">
                        <w:r>
                          <w:t>Spannmål</w:t>
                        </w:r>
                      </w:p>
                    </w:tc>
                    <w:tc>
                      <w:tcPr>
                        <w:tcW w:w="2193" w:type="dxa"/>
                      </w:tcPr>
                      <w:p w14:paraId="0A983380" w14:textId="77777777" w:rsidR="00FF1B09" w:rsidRPr="001E5BCB" w:rsidRDefault="00FF1B09" w:rsidP="00EA5924">
                        <w:r w:rsidRPr="001E5BCB">
                          <w:t>100 000–499 999</w:t>
                        </w:r>
                      </w:p>
                    </w:tc>
                  </w:tr>
                  <w:tr w:rsidR="00FF1B09" w:rsidRPr="001E5BCB" w14:paraId="61EEBFC3" w14:textId="77777777" w:rsidTr="00EA5924">
                    <w:trPr>
                      <w:trHeight w:val="448"/>
                    </w:trPr>
                    <w:tc>
                      <w:tcPr>
                        <w:tcW w:w="727" w:type="dxa"/>
                        <w:vMerge/>
                      </w:tcPr>
                      <w:p w14:paraId="6B9C4447" w14:textId="77777777" w:rsidR="00FF1B09" w:rsidRPr="001E5BCB" w:rsidRDefault="00FF1B09" w:rsidP="00EA5924"/>
                    </w:tc>
                    <w:tc>
                      <w:tcPr>
                        <w:tcW w:w="2552" w:type="dxa"/>
                        <w:vMerge/>
                      </w:tcPr>
                      <w:p w14:paraId="64F441E4" w14:textId="77777777" w:rsidR="00FF1B09" w:rsidRPr="001E5BCB" w:rsidRDefault="00FF1B09" w:rsidP="00EA5924"/>
                    </w:tc>
                    <w:tc>
                      <w:tcPr>
                        <w:tcW w:w="1984" w:type="dxa"/>
                      </w:tcPr>
                      <w:p w14:paraId="0990A977" w14:textId="77777777" w:rsidR="00FF1B09" w:rsidRPr="001E5BCB" w:rsidRDefault="00FF1B09" w:rsidP="00EA5924">
                        <w:r w:rsidRPr="001E5BCB">
                          <w:t>Åkergrödor, blandad vegetabilieodling</w:t>
                        </w:r>
                      </w:p>
                    </w:tc>
                    <w:tc>
                      <w:tcPr>
                        <w:tcW w:w="2193" w:type="dxa"/>
                      </w:tcPr>
                      <w:p w14:paraId="0DC1E159" w14:textId="77777777" w:rsidR="00FF1B09" w:rsidRPr="001E5BCB" w:rsidRDefault="00FF1B09" w:rsidP="00EA5924">
                        <w:r w:rsidRPr="001E5BCB">
                          <w:t>15 000–99 999</w:t>
                        </w:r>
                      </w:p>
                    </w:tc>
                  </w:tr>
                  <w:tr w:rsidR="00FF1B09" w:rsidRPr="001E5BCB" w14:paraId="7B8F756F" w14:textId="77777777" w:rsidTr="00EA5924">
                    <w:trPr>
                      <w:trHeight w:val="500"/>
                    </w:trPr>
                    <w:tc>
                      <w:tcPr>
                        <w:tcW w:w="727" w:type="dxa"/>
                        <w:vMerge/>
                      </w:tcPr>
                      <w:p w14:paraId="1F3F9108" w14:textId="77777777" w:rsidR="00FF1B09" w:rsidRPr="001E5BCB" w:rsidRDefault="00FF1B09" w:rsidP="00EA5924"/>
                    </w:tc>
                    <w:tc>
                      <w:tcPr>
                        <w:tcW w:w="2552" w:type="dxa"/>
                        <w:vMerge/>
                      </w:tcPr>
                      <w:p w14:paraId="64AB96AD" w14:textId="77777777" w:rsidR="00FF1B09" w:rsidRPr="001E5BCB" w:rsidRDefault="00FF1B09" w:rsidP="00EA5924"/>
                    </w:tc>
                    <w:tc>
                      <w:tcPr>
                        <w:tcW w:w="1984" w:type="dxa"/>
                      </w:tcPr>
                      <w:p w14:paraId="25C06296" w14:textId="77777777" w:rsidR="00FF1B09" w:rsidRPr="001E5BCB" w:rsidRDefault="00FF1B09" w:rsidP="00EA5924">
                        <w:r w:rsidRPr="001E5BCB">
                          <w:t>Mjölk</w:t>
                        </w:r>
                      </w:p>
                    </w:tc>
                    <w:tc>
                      <w:tcPr>
                        <w:tcW w:w="2193" w:type="dxa"/>
                      </w:tcPr>
                      <w:p w14:paraId="6092D202" w14:textId="77777777" w:rsidR="00FF1B09" w:rsidRPr="001E5BCB" w:rsidRDefault="00FF1B09" w:rsidP="00EA5924">
                        <w:r w:rsidRPr="001E5BCB">
                          <w:t>15 000–99 999</w:t>
                        </w:r>
                      </w:p>
                    </w:tc>
                  </w:tr>
                  <w:tr w:rsidR="00FF1B09" w:rsidRPr="001E5BCB" w14:paraId="50A2F45D" w14:textId="77777777" w:rsidTr="00EA5924">
                    <w:trPr>
                      <w:trHeight w:val="534"/>
                    </w:trPr>
                    <w:tc>
                      <w:tcPr>
                        <w:tcW w:w="727" w:type="dxa"/>
                        <w:vMerge/>
                      </w:tcPr>
                      <w:p w14:paraId="499913F1" w14:textId="77777777" w:rsidR="00FF1B09" w:rsidRPr="001E5BCB" w:rsidRDefault="00FF1B09" w:rsidP="00EA5924"/>
                    </w:tc>
                    <w:tc>
                      <w:tcPr>
                        <w:tcW w:w="2552" w:type="dxa"/>
                        <w:vMerge/>
                      </w:tcPr>
                      <w:p w14:paraId="109EDEB1" w14:textId="77777777" w:rsidR="00FF1B09" w:rsidRPr="001E5BCB" w:rsidRDefault="00FF1B09" w:rsidP="00EA5924"/>
                    </w:tc>
                    <w:tc>
                      <w:tcPr>
                        <w:tcW w:w="1984" w:type="dxa"/>
                      </w:tcPr>
                      <w:p w14:paraId="39D1F37C" w14:textId="77777777" w:rsidR="00FF1B09" w:rsidRPr="001E5BCB" w:rsidRDefault="00C5576D" w:rsidP="00EA5924">
                        <w:r>
                          <w:t>Mjölk</w:t>
                        </w:r>
                      </w:p>
                    </w:tc>
                    <w:tc>
                      <w:tcPr>
                        <w:tcW w:w="2193" w:type="dxa"/>
                      </w:tcPr>
                      <w:p w14:paraId="4676A4F4" w14:textId="77777777" w:rsidR="00FF1B09" w:rsidRPr="001E5BCB" w:rsidRDefault="00FF1B09" w:rsidP="00EA5924">
                        <w:r w:rsidRPr="001E5BCB">
                          <w:t>100 000–499 999</w:t>
                        </w:r>
                      </w:p>
                    </w:tc>
                  </w:tr>
                  <w:tr w:rsidR="00FF1B09" w:rsidRPr="001E5BCB" w14:paraId="3BD09882" w14:textId="77777777" w:rsidTr="00EA5924">
                    <w:trPr>
                      <w:trHeight w:val="481"/>
                    </w:trPr>
                    <w:tc>
                      <w:tcPr>
                        <w:tcW w:w="727" w:type="dxa"/>
                        <w:vMerge w:val="restart"/>
                      </w:tcPr>
                      <w:p w14:paraId="168577D1" w14:textId="77777777" w:rsidR="00FF1B09" w:rsidRPr="001E5BCB" w:rsidRDefault="00FF1B09" w:rsidP="00EA5924">
                        <w:r w:rsidRPr="001E5BCB">
                          <w:t>2</w:t>
                        </w:r>
                      </w:p>
                    </w:tc>
                    <w:tc>
                      <w:tcPr>
                        <w:tcW w:w="2552" w:type="dxa"/>
                        <w:vMerge w:val="restart"/>
                      </w:tcPr>
                      <w:p w14:paraId="19525336" w14:textId="77777777" w:rsidR="00FF1B09" w:rsidRPr="001E5BCB" w:rsidRDefault="00FF1B09" w:rsidP="00EA5924">
                        <w:r w:rsidRPr="001E5BCB">
                          <w:t>Jönköpings, Kronobergs, Kalmar, Gotlands, del av Västra Götalands (f.d. Göteborg och Bohus samt Älvsborgs), Värmlands och Dalarnas län.</w:t>
                        </w:r>
                      </w:p>
                    </w:tc>
                    <w:tc>
                      <w:tcPr>
                        <w:tcW w:w="1984" w:type="dxa"/>
                      </w:tcPr>
                      <w:p w14:paraId="064F00A2" w14:textId="77777777" w:rsidR="00FF1B09" w:rsidRPr="001E5BCB" w:rsidRDefault="00FF1B09" w:rsidP="00EA5924">
                        <w:r w:rsidRPr="001E5BCB">
                          <w:t>Mjölk</w:t>
                        </w:r>
                      </w:p>
                    </w:tc>
                    <w:tc>
                      <w:tcPr>
                        <w:tcW w:w="2193" w:type="dxa"/>
                      </w:tcPr>
                      <w:p w14:paraId="1FD7FB4E" w14:textId="77777777" w:rsidR="00FF1B09" w:rsidRPr="001E5BCB" w:rsidRDefault="00FF1B09" w:rsidP="00EA5924">
                        <w:r w:rsidRPr="001E5BCB">
                          <w:t>15 000–99 999</w:t>
                        </w:r>
                      </w:p>
                    </w:tc>
                  </w:tr>
                  <w:tr w:rsidR="00FF1B09" w:rsidRPr="001E5BCB" w14:paraId="01007C76" w14:textId="77777777" w:rsidTr="00EA5924">
                    <w:trPr>
                      <w:trHeight w:val="430"/>
                    </w:trPr>
                    <w:tc>
                      <w:tcPr>
                        <w:tcW w:w="727" w:type="dxa"/>
                        <w:vMerge/>
                      </w:tcPr>
                      <w:p w14:paraId="4C777D68" w14:textId="77777777" w:rsidR="00FF1B09" w:rsidRPr="001E5BCB" w:rsidRDefault="00FF1B09" w:rsidP="00EA5924"/>
                    </w:tc>
                    <w:tc>
                      <w:tcPr>
                        <w:tcW w:w="2552" w:type="dxa"/>
                        <w:vMerge/>
                      </w:tcPr>
                      <w:p w14:paraId="1F12D1E1" w14:textId="77777777" w:rsidR="00FF1B09" w:rsidRPr="001E5BCB" w:rsidRDefault="00FF1B09" w:rsidP="00EA5924"/>
                    </w:tc>
                    <w:tc>
                      <w:tcPr>
                        <w:tcW w:w="1984" w:type="dxa"/>
                      </w:tcPr>
                      <w:p w14:paraId="300A6913" w14:textId="77777777" w:rsidR="00FF1B09" w:rsidRPr="001E5BCB" w:rsidRDefault="00C5576D" w:rsidP="00EA5924">
                        <w:r>
                          <w:t>Mjölk</w:t>
                        </w:r>
                      </w:p>
                    </w:tc>
                    <w:tc>
                      <w:tcPr>
                        <w:tcW w:w="2193" w:type="dxa"/>
                      </w:tcPr>
                      <w:p w14:paraId="1A6DCA8E" w14:textId="77777777" w:rsidR="00FF1B09" w:rsidRPr="001E5BCB" w:rsidRDefault="00FF1B09" w:rsidP="00EA5924">
                        <w:r w:rsidRPr="001E5BCB">
                          <w:t>100 000–499 999</w:t>
                        </w:r>
                      </w:p>
                    </w:tc>
                  </w:tr>
                  <w:tr w:rsidR="00FF1B09" w:rsidRPr="001E5BCB" w14:paraId="7E81DCDE" w14:textId="77777777" w:rsidTr="00EA5924">
                    <w:trPr>
                      <w:trHeight w:val="471"/>
                    </w:trPr>
                    <w:tc>
                      <w:tcPr>
                        <w:tcW w:w="727" w:type="dxa"/>
                        <w:vMerge w:val="restart"/>
                      </w:tcPr>
                      <w:p w14:paraId="0AB36A4D" w14:textId="77777777" w:rsidR="00FF1B09" w:rsidRPr="001E5BCB" w:rsidRDefault="00FF1B09" w:rsidP="00EA5924">
                        <w:r w:rsidRPr="001E5BCB">
                          <w:t>3</w:t>
                        </w:r>
                      </w:p>
                    </w:tc>
                    <w:tc>
                      <w:tcPr>
                        <w:tcW w:w="2552" w:type="dxa"/>
                        <w:vMerge w:val="restart"/>
                      </w:tcPr>
                      <w:p w14:paraId="2001BEA1" w14:textId="77777777" w:rsidR="00FF1B09" w:rsidRPr="001E5BCB" w:rsidRDefault="00FF1B09" w:rsidP="00EA5924">
                        <w:r w:rsidRPr="001E5BCB">
                          <w:t>Gävleborgs, Västernorrlands, Jämtlands, Västerbottens och Norrbottens län.</w:t>
                        </w:r>
                      </w:p>
                    </w:tc>
                    <w:tc>
                      <w:tcPr>
                        <w:tcW w:w="1984" w:type="dxa"/>
                      </w:tcPr>
                      <w:p w14:paraId="7DFADD5F" w14:textId="77777777" w:rsidR="00FF1B09" w:rsidRPr="001E5BCB" w:rsidRDefault="00FF1B09" w:rsidP="00EA5924">
                        <w:r w:rsidRPr="001E5BCB">
                          <w:t>Mjölk</w:t>
                        </w:r>
                      </w:p>
                    </w:tc>
                    <w:tc>
                      <w:tcPr>
                        <w:tcW w:w="2193" w:type="dxa"/>
                      </w:tcPr>
                      <w:p w14:paraId="1C0B7485" w14:textId="77777777" w:rsidR="00FF1B09" w:rsidRPr="001E5BCB" w:rsidRDefault="00FF1B09" w:rsidP="00EA5924">
                        <w:r w:rsidRPr="001E5BCB">
                          <w:t>15 000–99 999</w:t>
                        </w:r>
                      </w:p>
                    </w:tc>
                  </w:tr>
                  <w:tr w:rsidR="00FF1B09" w:rsidRPr="001E5BCB" w14:paraId="655C4587" w14:textId="77777777" w:rsidTr="00EA5924">
                    <w:trPr>
                      <w:trHeight w:val="422"/>
                    </w:trPr>
                    <w:tc>
                      <w:tcPr>
                        <w:tcW w:w="727" w:type="dxa"/>
                        <w:vMerge/>
                      </w:tcPr>
                      <w:p w14:paraId="57032696" w14:textId="77777777" w:rsidR="00FF1B09" w:rsidRPr="001E5BCB" w:rsidRDefault="00FF1B09" w:rsidP="00EA5924"/>
                    </w:tc>
                    <w:tc>
                      <w:tcPr>
                        <w:tcW w:w="2552" w:type="dxa"/>
                        <w:vMerge/>
                      </w:tcPr>
                      <w:p w14:paraId="2EEC1EBC" w14:textId="77777777" w:rsidR="00FF1B09" w:rsidRPr="001E5BCB" w:rsidRDefault="00FF1B09" w:rsidP="00EA5924"/>
                    </w:tc>
                    <w:tc>
                      <w:tcPr>
                        <w:tcW w:w="1984" w:type="dxa"/>
                      </w:tcPr>
                      <w:p w14:paraId="3363EEC2" w14:textId="77777777" w:rsidR="00FF1B09" w:rsidRPr="001E5BCB" w:rsidRDefault="00C5576D" w:rsidP="00EA5924">
                        <w:r>
                          <w:t>Mjölk</w:t>
                        </w:r>
                      </w:p>
                    </w:tc>
                    <w:tc>
                      <w:tcPr>
                        <w:tcW w:w="2193" w:type="dxa"/>
                      </w:tcPr>
                      <w:p w14:paraId="1BCB67DD" w14:textId="77777777" w:rsidR="00FF1B09" w:rsidRPr="001E5BCB" w:rsidRDefault="00FF1B09" w:rsidP="00EA5924">
                        <w:r w:rsidRPr="001E5BCB">
                          <w:t>100 000–499 999</w:t>
                        </w:r>
                      </w:p>
                    </w:tc>
                  </w:tr>
                  <w:tr w:rsidR="00FF1B09" w:rsidRPr="001E5BCB" w14:paraId="56A5FD96" w14:textId="77777777" w:rsidTr="00EA5924">
                    <w:trPr>
                      <w:trHeight w:val="485"/>
                    </w:trPr>
                    <w:tc>
                      <w:tcPr>
                        <w:tcW w:w="727" w:type="dxa"/>
                        <w:vMerge w:val="restart"/>
                      </w:tcPr>
                      <w:p w14:paraId="1FE42762" w14:textId="77777777" w:rsidR="00FF1B09" w:rsidRPr="001E5BCB" w:rsidRDefault="00FF1B09" w:rsidP="00EA5924">
                        <w:r w:rsidRPr="001E5BCB">
                          <w:t>Riket</w:t>
                        </w:r>
                      </w:p>
                    </w:tc>
                    <w:tc>
                      <w:tcPr>
                        <w:tcW w:w="2552" w:type="dxa"/>
                        <w:vMerge w:val="restart"/>
                      </w:tcPr>
                      <w:p w14:paraId="0EC79E31" w14:textId="77777777" w:rsidR="00FF1B09" w:rsidRPr="001E5BCB" w:rsidRDefault="00FF1B09" w:rsidP="00EA5924"/>
                    </w:tc>
                    <w:tc>
                      <w:tcPr>
                        <w:tcW w:w="1984" w:type="dxa"/>
                      </w:tcPr>
                      <w:p w14:paraId="1B0C6B23" w14:textId="77777777" w:rsidR="00FF1B09" w:rsidRPr="001E5BCB" w:rsidRDefault="00FF1B09" w:rsidP="00EA5924">
                        <w:r w:rsidRPr="001E5BCB">
                          <w:t>Mjölk</w:t>
                        </w:r>
                      </w:p>
                    </w:tc>
                    <w:tc>
                      <w:tcPr>
                        <w:tcW w:w="2193" w:type="dxa"/>
                      </w:tcPr>
                      <w:p w14:paraId="4676CD12" w14:textId="77777777" w:rsidR="00FF1B09" w:rsidRPr="001E5BCB" w:rsidRDefault="00FF1B09" w:rsidP="00EA5924">
                        <w:r w:rsidRPr="001E5BCB">
                          <w:t>500 000–</w:t>
                        </w:r>
                      </w:p>
                    </w:tc>
                  </w:tr>
                  <w:tr w:rsidR="00FF1B09" w:rsidRPr="001E5BCB" w14:paraId="6064FD89" w14:textId="77777777" w:rsidTr="00EA5924">
                    <w:trPr>
                      <w:trHeight w:val="503"/>
                    </w:trPr>
                    <w:tc>
                      <w:tcPr>
                        <w:tcW w:w="727" w:type="dxa"/>
                        <w:vMerge/>
                      </w:tcPr>
                      <w:p w14:paraId="38FE395C" w14:textId="77777777" w:rsidR="00FF1B09" w:rsidRPr="001E5BCB" w:rsidRDefault="00FF1B09" w:rsidP="00EA5924"/>
                    </w:tc>
                    <w:tc>
                      <w:tcPr>
                        <w:tcW w:w="2552" w:type="dxa"/>
                        <w:vMerge/>
                      </w:tcPr>
                      <w:p w14:paraId="0BEB5E69" w14:textId="77777777" w:rsidR="00FF1B09" w:rsidRPr="001E5BCB" w:rsidRDefault="00FF1B09" w:rsidP="00EA5924"/>
                    </w:tc>
                    <w:tc>
                      <w:tcPr>
                        <w:tcW w:w="1984" w:type="dxa"/>
                      </w:tcPr>
                      <w:p w14:paraId="5F918968" w14:textId="77777777" w:rsidR="00FF1B09" w:rsidRPr="001E5BCB" w:rsidRDefault="00FF1B09" w:rsidP="00EA5924">
                        <w:r w:rsidRPr="001E5BCB">
                          <w:t>Köttdjur</w:t>
                        </w:r>
                      </w:p>
                    </w:tc>
                    <w:tc>
                      <w:tcPr>
                        <w:tcW w:w="2193" w:type="dxa"/>
                      </w:tcPr>
                      <w:p w14:paraId="6D513B83" w14:textId="77777777" w:rsidR="00FF1B09" w:rsidRPr="001E5BCB" w:rsidRDefault="00FF1B09" w:rsidP="00EA5924">
                        <w:r w:rsidRPr="001E5BCB">
                          <w:t>15 000–99 999</w:t>
                        </w:r>
                      </w:p>
                    </w:tc>
                  </w:tr>
                  <w:tr w:rsidR="00FF1B09" w:rsidRPr="001E5BCB" w14:paraId="26D6F898" w14:textId="77777777" w:rsidTr="00EA5924">
                    <w:trPr>
                      <w:trHeight w:val="556"/>
                    </w:trPr>
                    <w:tc>
                      <w:tcPr>
                        <w:tcW w:w="727" w:type="dxa"/>
                        <w:vMerge/>
                      </w:tcPr>
                      <w:p w14:paraId="1D5F4ECF" w14:textId="77777777" w:rsidR="00FF1B09" w:rsidRPr="001E5BCB" w:rsidRDefault="00FF1B09" w:rsidP="00EA5924"/>
                    </w:tc>
                    <w:tc>
                      <w:tcPr>
                        <w:tcW w:w="2552" w:type="dxa"/>
                        <w:vMerge/>
                      </w:tcPr>
                      <w:p w14:paraId="6C5F0D19" w14:textId="77777777" w:rsidR="00FF1B09" w:rsidRPr="001E5BCB" w:rsidRDefault="00FF1B09" w:rsidP="00EA5924"/>
                    </w:tc>
                    <w:tc>
                      <w:tcPr>
                        <w:tcW w:w="1984" w:type="dxa"/>
                      </w:tcPr>
                      <w:p w14:paraId="1586773D" w14:textId="77777777" w:rsidR="00FF1B09" w:rsidRPr="001E5BCB" w:rsidRDefault="00FF1B09" w:rsidP="00EA5924">
                        <w:r w:rsidRPr="001E5BCB">
                          <w:t>Blandat</w:t>
                        </w:r>
                      </w:p>
                    </w:tc>
                    <w:tc>
                      <w:tcPr>
                        <w:tcW w:w="2193" w:type="dxa"/>
                      </w:tcPr>
                      <w:p w14:paraId="62991C13" w14:textId="77777777" w:rsidR="00FF1B09" w:rsidRPr="001E5BCB" w:rsidRDefault="00FF1B09" w:rsidP="00EA5924">
                        <w:r w:rsidRPr="001E5BCB">
                          <w:t>100 000–499 999</w:t>
                        </w:r>
                      </w:p>
                    </w:tc>
                  </w:tr>
                  <w:bookmarkEnd w:id="69"/>
                </w:tbl>
                <w:p w14:paraId="79A26A54" w14:textId="77777777" w:rsidR="00FF1B09" w:rsidRDefault="00FF1B09" w:rsidP="00EA5924">
                  <w:pPr>
                    <w:pStyle w:val="Sidfot"/>
                  </w:pPr>
                </w:p>
              </w:tc>
            </w:tr>
          </w:tbl>
          <w:p w14:paraId="3EE0D832" w14:textId="77777777" w:rsidR="00FF1B09" w:rsidRDefault="00FF1B09" w:rsidP="00EA5924"/>
        </w:tc>
      </w:tr>
    </w:tbl>
    <w:p w14:paraId="50B96FAA" w14:textId="77777777" w:rsidR="00FC1132" w:rsidRPr="005A484A" w:rsidRDefault="007C346C" w:rsidP="0077704B">
      <w:pPr>
        <w:pStyle w:val="Rubrik3"/>
        <w:spacing w:before="240" w:after="40"/>
        <w:ind w:left="680" w:hanging="680"/>
        <w:rPr>
          <w:szCs w:val="18"/>
        </w:rPr>
      </w:pPr>
      <w:bookmarkStart w:id="70" w:name="_Toc467250862"/>
      <w:bookmarkStart w:id="71" w:name="_Toc467251694"/>
      <w:bookmarkStart w:id="72" w:name="_Toc467482231"/>
      <w:bookmarkStart w:id="73" w:name="_Toc2001575"/>
      <w:r w:rsidRPr="005A484A">
        <w:rPr>
          <w:szCs w:val="18"/>
        </w:rPr>
        <w:t>1.2.5</w:t>
      </w:r>
      <w:r w:rsidRPr="005A484A">
        <w:rPr>
          <w:szCs w:val="18"/>
        </w:rPr>
        <w:tab/>
      </w:r>
      <w:r w:rsidR="00FC1132" w:rsidRPr="005A484A">
        <w:rPr>
          <w:szCs w:val="18"/>
        </w:rPr>
        <w:t>Referenstider</w:t>
      </w:r>
      <w:bookmarkEnd w:id="70"/>
      <w:bookmarkEnd w:id="71"/>
      <w:bookmarkEnd w:id="72"/>
      <w:bookmarkEnd w:id="73"/>
    </w:p>
    <w:p w14:paraId="74FDB1AF" w14:textId="1BFD0D4B" w:rsidR="0026623A" w:rsidRPr="006F169E" w:rsidRDefault="00A633C2" w:rsidP="006F169E">
      <w:r>
        <w:t xml:space="preserve">Referenstiden är den </w:t>
      </w:r>
      <w:r w:rsidR="00C5576D">
        <w:t>12-månaders räkenskapsperiod som avsluta</w:t>
      </w:r>
      <w:r>
        <w:t>de</w:t>
      </w:r>
      <w:r w:rsidR="00C5576D">
        <w:t xml:space="preserve">s </w:t>
      </w:r>
      <w:r>
        <w:t xml:space="preserve">den </w:t>
      </w:r>
      <w:r w:rsidR="00C5576D">
        <w:t>31 december</w:t>
      </w:r>
      <w:r>
        <w:t xml:space="preserve"> </w:t>
      </w:r>
      <w:r w:rsidR="004A595C">
        <w:t>201</w:t>
      </w:r>
      <w:r w:rsidR="00B56757">
        <w:t>8</w:t>
      </w:r>
      <w:r w:rsidR="00C5576D">
        <w:t xml:space="preserve">, vid kalenderårsbokslut, </w:t>
      </w:r>
      <w:r w:rsidR="0018649C">
        <w:t xml:space="preserve">alternativt </w:t>
      </w:r>
      <w:r w:rsidR="00C5576D">
        <w:t xml:space="preserve">senast </w:t>
      </w:r>
      <w:r w:rsidR="00DF1D4B">
        <w:t xml:space="preserve">den </w:t>
      </w:r>
      <w:r w:rsidR="00C5576D">
        <w:t>30 juni</w:t>
      </w:r>
      <w:r w:rsidR="004A595C">
        <w:t xml:space="preserve"> 201</w:t>
      </w:r>
      <w:r w:rsidR="00B56757">
        <w:t>9</w:t>
      </w:r>
      <w:r w:rsidR="00C5576D">
        <w:t xml:space="preserve">, vid </w:t>
      </w:r>
      <w:r w:rsidR="006F169E">
        <w:t xml:space="preserve">bokslut med </w:t>
      </w:r>
      <w:r w:rsidR="00C5576D">
        <w:t>brutet räkenskapsår.</w:t>
      </w:r>
      <w:bookmarkEnd w:id="10"/>
    </w:p>
    <w:p w14:paraId="43967A1D" w14:textId="77777777" w:rsidR="00FA5E96" w:rsidRPr="00FF0CB7" w:rsidRDefault="00FA5E96" w:rsidP="0077704B">
      <w:pPr>
        <w:pStyle w:val="Rubrik1"/>
        <w:ind w:left="680" w:hanging="680"/>
        <w:rPr>
          <w:sz w:val="24"/>
          <w:szCs w:val="24"/>
        </w:rPr>
      </w:pPr>
      <w:bookmarkStart w:id="74" w:name="_Toc467250863"/>
      <w:bookmarkStart w:id="75" w:name="_Toc467251695"/>
      <w:bookmarkStart w:id="76" w:name="_Toc467482232"/>
      <w:bookmarkStart w:id="77" w:name="_Toc2001576"/>
      <w:r w:rsidRPr="00FF0CB7">
        <w:rPr>
          <w:sz w:val="24"/>
          <w:szCs w:val="24"/>
        </w:rPr>
        <w:t>2</w:t>
      </w:r>
      <w:r w:rsidRPr="00FF0CB7">
        <w:rPr>
          <w:sz w:val="24"/>
          <w:szCs w:val="24"/>
        </w:rPr>
        <w:tab/>
        <w:t>Tillförlitlighet</w:t>
      </w:r>
      <w:bookmarkEnd w:id="74"/>
      <w:bookmarkEnd w:id="75"/>
      <w:bookmarkEnd w:id="76"/>
      <w:bookmarkEnd w:id="77"/>
    </w:p>
    <w:p w14:paraId="7ED787F8" w14:textId="77777777" w:rsidR="00FA5E96" w:rsidRPr="005A484A" w:rsidRDefault="00FA5E96" w:rsidP="0077704B">
      <w:pPr>
        <w:pStyle w:val="Rubrik2"/>
        <w:spacing w:before="240" w:after="40"/>
        <w:ind w:left="680" w:hanging="680"/>
        <w:rPr>
          <w:szCs w:val="22"/>
        </w:rPr>
      </w:pPr>
      <w:bookmarkStart w:id="78" w:name="_Toc92287716"/>
      <w:bookmarkStart w:id="79" w:name="_Toc92298976"/>
      <w:bookmarkStart w:id="80" w:name="_Toc92299131"/>
      <w:bookmarkStart w:id="81" w:name="_Toc92299172"/>
      <w:bookmarkStart w:id="82" w:name="_Toc92299287"/>
      <w:bookmarkStart w:id="83" w:name="_Toc92299431"/>
      <w:bookmarkStart w:id="84" w:name="_Toc92299472"/>
      <w:bookmarkStart w:id="85" w:name="_Toc418595697"/>
      <w:bookmarkStart w:id="86" w:name="_Toc430277559"/>
      <w:bookmarkStart w:id="87" w:name="_Toc449949576"/>
      <w:bookmarkStart w:id="88" w:name="_Toc467250864"/>
      <w:bookmarkStart w:id="89" w:name="_Toc467251696"/>
      <w:bookmarkStart w:id="90" w:name="_Toc467482233"/>
      <w:bookmarkStart w:id="91" w:name="_Toc2001577"/>
      <w:r w:rsidRPr="005A484A">
        <w:rPr>
          <w:szCs w:val="22"/>
        </w:rPr>
        <w:t>2.1</w:t>
      </w:r>
      <w:r w:rsidRPr="005A484A">
        <w:rPr>
          <w:szCs w:val="22"/>
        </w:rPr>
        <w:tab/>
        <w:t xml:space="preserve">Tillförlitlighet </w:t>
      </w:r>
      <w:bookmarkEnd w:id="78"/>
      <w:bookmarkEnd w:id="79"/>
      <w:bookmarkEnd w:id="80"/>
      <w:bookmarkEnd w:id="81"/>
      <w:bookmarkEnd w:id="82"/>
      <w:bookmarkEnd w:id="83"/>
      <w:bookmarkEnd w:id="84"/>
      <w:r w:rsidRPr="005A484A">
        <w:rPr>
          <w:szCs w:val="22"/>
        </w:rPr>
        <w:t>totalt</w:t>
      </w:r>
      <w:bookmarkEnd w:id="85"/>
      <w:bookmarkEnd w:id="86"/>
      <w:bookmarkEnd w:id="87"/>
      <w:bookmarkEnd w:id="88"/>
      <w:bookmarkEnd w:id="89"/>
      <w:bookmarkEnd w:id="90"/>
      <w:bookmarkEnd w:id="91"/>
    </w:p>
    <w:p w14:paraId="2D882257" w14:textId="5396189F" w:rsidR="00582C96" w:rsidRDefault="00295D4E" w:rsidP="00295D4E">
      <w:r w:rsidRPr="00B85644">
        <w:t>Tillförlitlighet</w:t>
      </w:r>
      <w:r>
        <w:t>en redovisas kvantitativt i S</w:t>
      </w:r>
      <w:r w:rsidRPr="00B85644">
        <w:t>tatistiska meddelanden</w:t>
      </w:r>
      <w:r w:rsidR="00DF1D4B">
        <w:t xml:space="preserve"> (SM)</w:t>
      </w:r>
      <w:r>
        <w:t xml:space="preserve"> genom en beräknad felmarginal</w:t>
      </w:r>
      <w:r w:rsidRPr="00B85644">
        <w:t xml:space="preserve"> för samtliga re</w:t>
      </w:r>
      <w:r>
        <w:t>dovisade skattningar. Felmarginalen</w:t>
      </w:r>
      <w:r w:rsidRPr="00B85644">
        <w:t xml:space="preserve"> är ett mått på precisionen i skattning</w:t>
      </w:r>
      <w:r w:rsidR="000306E4">
        <w:t>en</w:t>
      </w:r>
      <w:r w:rsidRPr="00B85644">
        <w:t xml:space="preserve"> och avspeglar urvalsfel och andra slumpmässiga fel, däremot inte systematiska fel såsom </w:t>
      </w:r>
      <w:r w:rsidR="00DF1D4B">
        <w:t xml:space="preserve">systematiska </w:t>
      </w:r>
      <w:r w:rsidRPr="00B85644">
        <w:t>bortf</w:t>
      </w:r>
      <w:r>
        <w:t>allsfel eller mätfel. Felmarginalen</w:t>
      </w:r>
      <w:r w:rsidRPr="00B85644">
        <w:t xml:space="preserve"> blir stor inom redovisningsgrupper med få </w:t>
      </w:r>
      <w:r w:rsidR="000306E4">
        <w:t xml:space="preserve">ingående </w:t>
      </w:r>
      <w:r w:rsidRPr="00B85644">
        <w:t>jordbruksföretag och/eller där variationen mellan företagen är stor i enskilda uppgifter.</w:t>
      </w:r>
    </w:p>
    <w:p w14:paraId="26A2DAAA" w14:textId="53478A36" w:rsidR="000306E4" w:rsidRPr="00295D4E" w:rsidRDefault="000306E4" w:rsidP="00295D4E">
      <w:r>
        <w:t xml:space="preserve">Tillförlitligheten bedöms sammantaget vara relativt låg för redovisade nivåskattningar, men relativt hög för skattningar av förändringar (som inte redovisats explicit, och för vilka det inte är möjligt att beräkna säkra felmarginaler).  </w:t>
      </w:r>
    </w:p>
    <w:p w14:paraId="5A9A3726" w14:textId="17BDE739" w:rsidR="00FA5E96" w:rsidRDefault="00582C96" w:rsidP="00597B5F">
      <w:pPr>
        <w:pStyle w:val="Rubrik2"/>
        <w:spacing w:before="240" w:after="40"/>
        <w:ind w:left="680" w:hanging="680"/>
        <w:rPr>
          <w:szCs w:val="20"/>
        </w:rPr>
      </w:pPr>
      <w:bookmarkStart w:id="92" w:name="_Toc467250865"/>
      <w:bookmarkStart w:id="93" w:name="_Toc467251697"/>
      <w:bookmarkStart w:id="94" w:name="_Toc467482234"/>
      <w:bookmarkStart w:id="95" w:name="_Toc2001578"/>
      <w:r w:rsidRPr="005A484A">
        <w:rPr>
          <w:szCs w:val="20"/>
        </w:rPr>
        <w:t>2</w:t>
      </w:r>
      <w:r w:rsidR="00FA5E96" w:rsidRPr="005A484A">
        <w:rPr>
          <w:szCs w:val="20"/>
        </w:rPr>
        <w:t>.2</w:t>
      </w:r>
      <w:r w:rsidR="00FA5E96" w:rsidRPr="005A484A">
        <w:rPr>
          <w:szCs w:val="20"/>
        </w:rPr>
        <w:tab/>
        <w:t>Osäkerhetskällor</w:t>
      </w:r>
      <w:bookmarkEnd w:id="92"/>
      <w:bookmarkEnd w:id="93"/>
      <w:bookmarkEnd w:id="94"/>
      <w:bookmarkEnd w:id="95"/>
    </w:p>
    <w:p w14:paraId="6B5C3458" w14:textId="5CB1496B" w:rsidR="000306E4" w:rsidRPr="000306E4" w:rsidRDefault="000306E4" w:rsidP="002E7290">
      <w:r>
        <w:t xml:space="preserve">I </w:t>
      </w:r>
      <w:r w:rsidRPr="00B85644">
        <w:t>statistik</w:t>
      </w:r>
      <w:r>
        <w:t>en</w:t>
      </w:r>
      <w:r w:rsidRPr="00B85644">
        <w:t xml:space="preserve"> förekommer urvalsfel, täckningsfel, mätfel</w:t>
      </w:r>
      <w:r>
        <w:t>,</w:t>
      </w:r>
      <w:r w:rsidRPr="00B85644" w:rsidDel="000306E4">
        <w:t xml:space="preserve"> </w:t>
      </w:r>
      <w:r w:rsidRPr="00B85644">
        <w:t>bortfallsfel, bearbetningsfel</w:t>
      </w:r>
      <w:r>
        <w:t xml:space="preserve"> och modellfel. De största källorna</w:t>
      </w:r>
      <w:r w:rsidRPr="00B85644">
        <w:t xml:space="preserve"> till osäkerhet bedöms vara </w:t>
      </w:r>
      <w:r>
        <w:t>urval och bortfall</w:t>
      </w:r>
      <w:r w:rsidRPr="00B85644">
        <w:t>.</w:t>
      </w:r>
    </w:p>
    <w:p w14:paraId="69429AF2" w14:textId="77777777" w:rsidR="00FA5E96" w:rsidRPr="00406035" w:rsidRDefault="00FA5E96" w:rsidP="00406035">
      <w:pPr>
        <w:pStyle w:val="Rubrik3"/>
        <w:spacing w:before="240" w:after="40"/>
        <w:ind w:left="680" w:hanging="680"/>
        <w:rPr>
          <w:szCs w:val="18"/>
        </w:rPr>
      </w:pPr>
      <w:bookmarkStart w:id="96" w:name="_Toc418595699"/>
      <w:bookmarkStart w:id="97" w:name="_Toc430277561"/>
      <w:bookmarkStart w:id="98" w:name="_Toc449949578"/>
      <w:bookmarkStart w:id="99" w:name="_Toc467250866"/>
      <w:bookmarkStart w:id="100" w:name="_Toc467251698"/>
      <w:bookmarkStart w:id="101" w:name="_Toc2001579"/>
      <w:r w:rsidRPr="00406035">
        <w:rPr>
          <w:szCs w:val="18"/>
        </w:rPr>
        <w:t>2.2.1</w:t>
      </w:r>
      <w:r w:rsidRPr="00406035">
        <w:rPr>
          <w:szCs w:val="18"/>
        </w:rPr>
        <w:tab/>
        <w:t>Ur</w:t>
      </w:r>
      <w:r w:rsidRPr="002E7290">
        <w:rPr>
          <w:szCs w:val="18"/>
        </w:rPr>
        <w:t>v</w:t>
      </w:r>
      <w:r w:rsidRPr="00406035">
        <w:rPr>
          <w:szCs w:val="18"/>
        </w:rPr>
        <w:t>al</w:t>
      </w:r>
      <w:bookmarkEnd w:id="96"/>
      <w:bookmarkEnd w:id="97"/>
      <w:bookmarkEnd w:id="98"/>
      <w:bookmarkEnd w:id="99"/>
      <w:bookmarkEnd w:id="100"/>
      <w:bookmarkEnd w:id="101"/>
    </w:p>
    <w:p w14:paraId="5B77B280" w14:textId="2FB58BA9" w:rsidR="002D1C99" w:rsidRDefault="00EF5DB2" w:rsidP="00EF5DB2">
      <w:r w:rsidRPr="00597B5F">
        <w:t>Urvalet är ett stratifierat urval av jordbruksföretag</w:t>
      </w:r>
      <w:r w:rsidR="00DF1D4B">
        <w:t>,</w:t>
      </w:r>
      <w:r w:rsidRPr="00597B5F">
        <w:t xml:space="preserve"> där varje företag </w:t>
      </w:r>
      <w:r w:rsidR="00477EB2" w:rsidRPr="00597B5F">
        <w:t>deltar ett antal år</w:t>
      </w:r>
      <w:r w:rsidR="00461A01">
        <w:t xml:space="preserve"> enligt en s.k. panelansats</w:t>
      </w:r>
      <w:r w:rsidR="00477EB2" w:rsidRPr="00597B5F">
        <w:t xml:space="preserve">. </w:t>
      </w:r>
      <w:r w:rsidR="002D1C99">
        <w:t xml:space="preserve">Urvalet kan betraktas som en s.k. accesspanel, baserad på sannolikhetsurval vid ursprunglig rekrytering. </w:t>
      </w:r>
    </w:p>
    <w:p w14:paraId="77BBF7A1" w14:textId="15C5EBDD" w:rsidR="00461A01" w:rsidRDefault="00477EB2" w:rsidP="00EF5DB2">
      <w:r w:rsidRPr="00597B5F">
        <w:t xml:space="preserve">För år </w:t>
      </w:r>
      <w:r w:rsidR="004A595C">
        <w:t>201</w:t>
      </w:r>
      <w:r w:rsidR="00B56757">
        <w:t>8</w:t>
      </w:r>
      <w:r w:rsidR="00EF5DB2" w:rsidRPr="00597B5F">
        <w:t xml:space="preserve"> förnyades </w:t>
      </w:r>
      <w:r w:rsidR="00EF5DB2" w:rsidRPr="00CB2FFE">
        <w:t>urvale</w:t>
      </w:r>
      <w:r w:rsidR="00701199" w:rsidRPr="00CB2FFE">
        <w:t>t med</w:t>
      </w:r>
      <w:r w:rsidR="00EF5DB2" w:rsidRPr="00CB2FFE">
        <w:t xml:space="preserve"> </w:t>
      </w:r>
      <w:r w:rsidR="000616D9">
        <w:t>89</w:t>
      </w:r>
      <w:r w:rsidRPr="00CB2FFE">
        <w:t xml:space="preserve"> </w:t>
      </w:r>
      <w:r w:rsidR="00EF5DB2" w:rsidRPr="00CB2FFE">
        <w:t>företag för att</w:t>
      </w:r>
      <w:r w:rsidR="00EF5DB2" w:rsidRPr="00597B5F">
        <w:t xml:space="preserve"> kompensera för företag som inte längre tillhör </w:t>
      </w:r>
      <w:r w:rsidR="00461A01">
        <w:t>mål</w:t>
      </w:r>
      <w:r w:rsidR="00EF5DB2" w:rsidRPr="00597B5F">
        <w:t>populationen (oftast p.g.a. för låg omsättning i jordbruksföretaget)</w:t>
      </w:r>
      <w:r w:rsidR="00461A01">
        <w:t xml:space="preserve"> eller inte </w:t>
      </w:r>
      <w:r w:rsidR="00461A01" w:rsidRPr="00461A01">
        <w:t xml:space="preserve">längre </w:t>
      </w:r>
      <w:r w:rsidR="00461A01" w:rsidRPr="002E7290">
        <w:t>är</w:t>
      </w:r>
      <w:r w:rsidR="00EF5DB2" w:rsidRPr="00461A01">
        <w:t xml:space="preserve"> </w:t>
      </w:r>
      <w:r w:rsidR="00461A01" w:rsidRPr="002E7290">
        <w:t>villiga att delta i undersökningen</w:t>
      </w:r>
      <w:r w:rsidR="00461A01" w:rsidRPr="00461A01">
        <w:t>.</w:t>
      </w:r>
    </w:p>
    <w:p w14:paraId="3B3F3691" w14:textId="0FFD5352" w:rsidR="00EF5DB2" w:rsidRPr="005E0CA2" w:rsidRDefault="00EF5DB2" w:rsidP="00EF5DB2">
      <w:r w:rsidRPr="00597B5F">
        <w:t xml:space="preserve">Fr.o.m. undersökningsåret 1995 har stratumindelningen baserats på EU:s typologi. </w:t>
      </w:r>
      <w:r w:rsidR="00956AC7">
        <w:t>S</w:t>
      </w:r>
      <w:r w:rsidRPr="00DA0C54">
        <w:t>tratifier</w:t>
      </w:r>
      <w:r w:rsidR="00956AC7">
        <w:t>ing görs</w:t>
      </w:r>
      <w:r w:rsidRPr="00DA0C54">
        <w:t xml:space="preserve"> efter </w:t>
      </w:r>
      <w:proofErr w:type="spellStart"/>
      <w:r w:rsidRPr="00DA0C54">
        <w:t>länsgrupp</w:t>
      </w:r>
      <w:proofErr w:type="spellEnd"/>
      <w:r w:rsidRPr="00DA0C54">
        <w:t>, driftsinriktning och ekonomisk storlek uttryckt som standardisera</w:t>
      </w:r>
      <w:r w:rsidR="00DA0C54" w:rsidRPr="00DA0C54">
        <w:t>de intäkter</w:t>
      </w:r>
      <w:r w:rsidR="00956AC7">
        <w:t>, inför dragning av det årliga kompletterande urvalet</w:t>
      </w:r>
      <w:r w:rsidRPr="00DA0C54">
        <w:t xml:space="preserve">. </w:t>
      </w:r>
      <w:r w:rsidR="002D56B3">
        <w:t>Urvalet omfattar</w:t>
      </w:r>
      <w:r w:rsidRPr="002D56B3">
        <w:t xml:space="preserve"> samtliga driftsinriktningar i jordbruket utom driftsinriktningen </w:t>
      </w:r>
      <w:r w:rsidR="002D56B3" w:rsidRPr="002D56B3">
        <w:t>fjäderfä. Vid den</w:t>
      </w:r>
      <w:r w:rsidR="00956AC7">
        <w:t xml:space="preserve"> </w:t>
      </w:r>
      <w:r w:rsidR="002D56B3" w:rsidRPr="002D56B3">
        <w:t>na</w:t>
      </w:r>
      <w:r w:rsidR="000F4CD4">
        <w:t>t</w:t>
      </w:r>
      <w:r w:rsidR="002D56B3" w:rsidRPr="002D56B3">
        <w:t xml:space="preserve">ionella redovisningen av resultat ingår inte heller </w:t>
      </w:r>
      <w:r w:rsidRPr="002D56B3">
        <w:t xml:space="preserve">odling av trädgårdsväxter </w:t>
      </w:r>
      <w:r w:rsidR="00DA0C54" w:rsidRPr="002D56B3">
        <w:t xml:space="preserve">på friland och </w:t>
      </w:r>
      <w:r w:rsidRPr="002D56B3">
        <w:t>i växthus</w:t>
      </w:r>
      <w:r w:rsidR="002B2933">
        <w:t>. Totalt finns 1 0</w:t>
      </w:r>
      <w:r w:rsidR="00B56757">
        <w:t>17</w:t>
      </w:r>
      <w:r w:rsidRPr="00DA0C54">
        <w:t xml:space="preserve"> </w:t>
      </w:r>
      <w:r w:rsidR="002D1C99" w:rsidRPr="00DA0C54">
        <w:t xml:space="preserve">svarande </w:t>
      </w:r>
      <w:r w:rsidRPr="00DA0C54">
        <w:t>företag</w:t>
      </w:r>
      <w:r w:rsidR="002D1C99" w:rsidRPr="00DA0C54">
        <w:t xml:space="preserve"> i </w:t>
      </w:r>
      <w:r w:rsidRPr="00DA0C54">
        <w:t>u</w:t>
      </w:r>
      <w:r w:rsidR="00597B5F" w:rsidRPr="00DA0C54">
        <w:t>ndersökning</w:t>
      </w:r>
      <w:r w:rsidR="002D1C99" w:rsidRPr="00DA0C54">
        <w:t xml:space="preserve">en </w:t>
      </w:r>
      <w:r w:rsidR="00597B5F" w:rsidRPr="00DA0C54">
        <w:t xml:space="preserve">som avser år </w:t>
      </w:r>
      <w:r w:rsidR="004A595C">
        <w:t>201</w:t>
      </w:r>
      <w:r w:rsidR="00B56757">
        <w:t>8</w:t>
      </w:r>
      <w:r w:rsidR="004600F5" w:rsidRPr="00DA0C54">
        <w:t xml:space="preserve">. </w:t>
      </w:r>
    </w:p>
    <w:p w14:paraId="75E9A678" w14:textId="549195CD" w:rsidR="002D1C99" w:rsidRPr="002E7290" w:rsidRDefault="002D1C99" w:rsidP="00EF5DB2">
      <w:r w:rsidRPr="002E7290">
        <w:t>För en beskrivning</w:t>
      </w:r>
      <w:r>
        <w:t xml:space="preserve"> av skattningsförfarandet, se avsnitt 2.2.6 nedan.</w:t>
      </w:r>
    </w:p>
    <w:p w14:paraId="635D9E48" w14:textId="60C0A180" w:rsidR="0018649C" w:rsidRPr="00EF5DB2" w:rsidRDefault="0018649C" w:rsidP="0018649C">
      <w:r>
        <w:t xml:space="preserve">Urvalsfelet är det fel som uppstår därför att inte samtliga företag i </w:t>
      </w:r>
      <w:r w:rsidR="00461A01">
        <w:t>ram</w:t>
      </w:r>
      <w:r>
        <w:t xml:space="preserve">populationen ingår i undersökningen. Det som främst </w:t>
      </w:r>
      <w:r w:rsidR="00956AC7">
        <w:t xml:space="preserve">kan </w:t>
      </w:r>
      <w:r>
        <w:t>håll</w:t>
      </w:r>
      <w:r w:rsidR="00956AC7">
        <w:t>a</w:t>
      </w:r>
      <w:r>
        <w:t xml:space="preserve"> nere urvalsfelet är ett stort antal utvalda företag, men även variabeln i sig spelar roll för urvalsfelets storlek. </w:t>
      </w:r>
      <w:r w:rsidRPr="00E6163C">
        <w:t>Ett vanligt mått på urvals</w:t>
      </w:r>
      <w:r>
        <w:t>osäkerheten är d</w:t>
      </w:r>
      <w:r w:rsidRPr="00E6163C">
        <w:t xml:space="preserve">et 95-procentiga </w:t>
      </w:r>
      <w:r w:rsidRPr="00130A0B">
        <w:t>konfidensintervallet</w:t>
      </w:r>
      <w:r w:rsidRPr="00E6163C">
        <w:t xml:space="preserve">, som </w:t>
      </w:r>
      <w:r>
        <w:t>utgörs av statistikvärdet ± felmarginalen</w:t>
      </w:r>
      <w:r w:rsidRPr="00E6163C">
        <w:t xml:space="preserve">. </w:t>
      </w:r>
      <w:r>
        <w:t>D</w:t>
      </w:r>
      <w:r w:rsidRPr="00E6163C">
        <w:t xml:space="preserve">etta intervall </w:t>
      </w:r>
      <w:r>
        <w:t>innesluter i 95 fall av 100</w:t>
      </w:r>
      <w:r w:rsidRPr="00E6163C">
        <w:t xml:space="preserve"> det sanna värde som man är ute efter att skatta</w:t>
      </w:r>
      <w:r>
        <w:t>, under förutsättning att de systematiska felen är små</w:t>
      </w:r>
      <w:r w:rsidRPr="00E6163C">
        <w:t>. Ju större intervallet är, desto mindre säker är skattningen</w:t>
      </w:r>
      <w:r>
        <w:t xml:space="preserve">. </w:t>
      </w:r>
      <w:r w:rsidR="009475BA">
        <w:t>I tabellerna från JEU redovisas f</w:t>
      </w:r>
      <w:r>
        <w:t>elmarginale</w:t>
      </w:r>
      <w:r w:rsidR="009475BA">
        <w:t>rna</w:t>
      </w:r>
      <w:r>
        <w:t xml:space="preserve"> tillsammans med statistikvärdena.</w:t>
      </w:r>
    </w:p>
    <w:p w14:paraId="1172ABC7" w14:textId="77777777" w:rsidR="00FA5E96" w:rsidRPr="005A484A" w:rsidRDefault="00FA5E96" w:rsidP="0077704B">
      <w:pPr>
        <w:pStyle w:val="Rubrik3"/>
        <w:spacing w:before="240" w:after="40"/>
        <w:ind w:left="680" w:hanging="680"/>
        <w:rPr>
          <w:szCs w:val="18"/>
        </w:rPr>
      </w:pPr>
      <w:bookmarkStart w:id="102" w:name="_Toc467250867"/>
      <w:bookmarkStart w:id="103" w:name="_Toc467251699"/>
      <w:bookmarkStart w:id="104" w:name="_Toc467482235"/>
      <w:bookmarkStart w:id="105" w:name="_Toc2001580"/>
      <w:r w:rsidRPr="005A484A">
        <w:rPr>
          <w:szCs w:val="18"/>
        </w:rPr>
        <w:t>2.2.2</w:t>
      </w:r>
      <w:r w:rsidRPr="005A484A">
        <w:rPr>
          <w:szCs w:val="18"/>
        </w:rPr>
        <w:tab/>
        <w:t>Ramtäckning</w:t>
      </w:r>
      <w:bookmarkEnd w:id="102"/>
      <w:bookmarkEnd w:id="103"/>
      <w:bookmarkEnd w:id="104"/>
      <w:bookmarkEnd w:id="105"/>
    </w:p>
    <w:p w14:paraId="45CE142E" w14:textId="77777777" w:rsidR="009755D1" w:rsidRDefault="00153753" w:rsidP="00EF5DB2">
      <w:pPr>
        <w:rPr>
          <w:noProof/>
        </w:rPr>
      </w:pPr>
      <w:r>
        <w:rPr>
          <w:noProof/>
        </w:rPr>
        <w:t xml:space="preserve">Täckningsbrister uppstår genom skillnader mellan rampopulation och målpopulation. Ramen för JEU utgörs av en delmängd av Lantbruksregistret. Rampopulationen består av de jordbruksföretag som ramen leder fram till. </w:t>
      </w:r>
    </w:p>
    <w:p w14:paraId="77349B67" w14:textId="711B2738" w:rsidR="00EF5DB2" w:rsidRDefault="00153753" w:rsidP="00EF5DB2">
      <w:pPr>
        <w:rPr>
          <w:noProof/>
        </w:rPr>
      </w:pPr>
      <w:r>
        <w:rPr>
          <w:noProof/>
        </w:rPr>
        <w:t>Under- och över</w:t>
      </w:r>
      <w:r w:rsidR="00EF5DB2">
        <w:rPr>
          <w:noProof/>
        </w:rPr>
        <w:t xml:space="preserve">täckning bedöms påverka statistikens kvalitet i endast liten grad. Undertäckning förekommer som följd av att nytt urval till JEU dras från </w:t>
      </w:r>
      <w:r w:rsidR="00DF1D4B">
        <w:rPr>
          <w:noProof/>
        </w:rPr>
        <w:t>L</w:t>
      </w:r>
      <w:r w:rsidR="00EF5DB2">
        <w:rPr>
          <w:noProof/>
        </w:rPr>
        <w:t>antbruksregistret (LBR)</w:t>
      </w:r>
      <w:r w:rsidR="00DF1D4B">
        <w:rPr>
          <w:noProof/>
        </w:rPr>
        <w:t>,</w:t>
      </w:r>
      <w:r w:rsidR="00EF5DB2">
        <w:rPr>
          <w:noProof/>
        </w:rPr>
        <w:t xml:space="preserve"> som inte uppdateras fullständigt varje år. Detta problem bedöms för närvarande inte vara särskilt stort. Övertäckning förekommer till följd av att vissa utvalda företag inte tillhör </w:t>
      </w:r>
      <w:r w:rsidR="00DF1D4B">
        <w:rPr>
          <w:noProof/>
        </w:rPr>
        <w:t>mål</w:t>
      </w:r>
      <w:r w:rsidR="00EF5DB2">
        <w:rPr>
          <w:noProof/>
        </w:rPr>
        <w:t>pop</w:t>
      </w:r>
      <w:r w:rsidR="004600F5">
        <w:rPr>
          <w:noProof/>
        </w:rPr>
        <w:t>ulationen</w:t>
      </w:r>
      <w:r w:rsidR="00DF1D4B">
        <w:rPr>
          <w:noProof/>
        </w:rPr>
        <w:t xml:space="preserve">, t.ex. för att de </w:t>
      </w:r>
      <w:r w:rsidR="004600F5">
        <w:rPr>
          <w:noProof/>
        </w:rPr>
        <w:t>lagts ned.</w:t>
      </w:r>
      <w:r w:rsidR="002D1C99">
        <w:rPr>
          <w:noProof/>
        </w:rPr>
        <w:t xml:space="preserve"> Dessa företag </w:t>
      </w:r>
      <w:r w:rsidR="00956AC7">
        <w:rPr>
          <w:noProof/>
        </w:rPr>
        <w:t xml:space="preserve">identifieras och </w:t>
      </w:r>
      <w:r w:rsidR="002D1C99">
        <w:rPr>
          <w:noProof/>
        </w:rPr>
        <w:t>bidrar inte till skattningarna.</w:t>
      </w:r>
      <w:r w:rsidR="009755D1">
        <w:rPr>
          <w:noProof/>
        </w:rPr>
        <w:t xml:space="preserve"> Sammantaget bedöms täckningsbristerna inte bidra mer än marginellt till osäkerheten i JEU-resultaten.</w:t>
      </w:r>
    </w:p>
    <w:p w14:paraId="3EDB2084" w14:textId="77777777" w:rsidR="00FA5E96" w:rsidRPr="005A484A" w:rsidRDefault="00FA5E96" w:rsidP="0077704B">
      <w:pPr>
        <w:pStyle w:val="Rubrik3"/>
        <w:spacing w:before="240" w:after="40"/>
        <w:ind w:left="680" w:hanging="680"/>
        <w:rPr>
          <w:szCs w:val="18"/>
        </w:rPr>
      </w:pPr>
      <w:bookmarkStart w:id="106" w:name="_Toc418595701"/>
      <w:bookmarkStart w:id="107" w:name="_Toc430277563"/>
      <w:bookmarkStart w:id="108" w:name="_Toc449949580"/>
      <w:bookmarkStart w:id="109" w:name="_Toc467250868"/>
      <w:bookmarkStart w:id="110" w:name="_Toc467251700"/>
      <w:bookmarkStart w:id="111" w:name="_Toc467482236"/>
      <w:bookmarkStart w:id="112" w:name="_Toc2001581"/>
      <w:r w:rsidRPr="005A484A">
        <w:rPr>
          <w:szCs w:val="18"/>
        </w:rPr>
        <w:t>2.2.3</w:t>
      </w:r>
      <w:r w:rsidRPr="005A484A">
        <w:rPr>
          <w:szCs w:val="18"/>
        </w:rPr>
        <w:tab/>
        <w:t>Mätning</w:t>
      </w:r>
      <w:bookmarkEnd w:id="106"/>
      <w:bookmarkEnd w:id="107"/>
      <w:bookmarkEnd w:id="108"/>
      <w:bookmarkEnd w:id="109"/>
      <w:bookmarkEnd w:id="110"/>
      <w:bookmarkEnd w:id="111"/>
      <w:bookmarkEnd w:id="112"/>
    </w:p>
    <w:p w14:paraId="1E66C504" w14:textId="38A51460" w:rsidR="009F1746" w:rsidRDefault="00EF5DB2" w:rsidP="00EF5DB2">
      <w:pPr>
        <w:tabs>
          <w:tab w:val="left" w:pos="851"/>
        </w:tabs>
      </w:pPr>
      <w:r w:rsidRPr="00B85644">
        <w:t xml:space="preserve">Denna statistik baseras på uppgifter </w:t>
      </w:r>
      <w:r>
        <w:t>om</w:t>
      </w:r>
      <w:r w:rsidRPr="00B85644">
        <w:t xml:space="preserve"> jordbruksföretag från flera olika källor med något olika datakval</w:t>
      </w:r>
      <w:r>
        <w:t xml:space="preserve">itet. Merparten av de uppgifter som </w:t>
      </w:r>
      <w:r w:rsidR="005F543C">
        <w:t xml:space="preserve">publiceras </w:t>
      </w:r>
      <w:r>
        <w:t>i denna statistik</w:t>
      </w:r>
      <w:r w:rsidRPr="00B85644">
        <w:t xml:space="preserve"> hämtas direkt från bokföringsmate</w:t>
      </w:r>
      <w:r w:rsidR="00841C9B">
        <w:t>rialet för de utvalda jordbruks</w:t>
      </w:r>
      <w:r w:rsidRPr="00B85644">
        <w:t xml:space="preserve">företagen. Utöver detta </w:t>
      </w:r>
      <w:r w:rsidR="009F1746">
        <w:t xml:space="preserve">kompletteras statistiken genom att hämta in uppgifter från flertalet administrativa register. De register på SCB som används för att komplettera statistiken är Fastighetstaxeringsregistret och Utbildningsregistret. En hel del </w:t>
      </w:r>
      <w:r w:rsidRPr="00B85644">
        <w:t>grunduppgifter om jordbruksföretagen hämt</w:t>
      </w:r>
      <w:r>
        <w:t xml:space="preserve">as </w:t>
      </w:r>
      <w:r w:rsidR="009F1746">
        <w:t xml:space="preserve">även </w:t>
      </w:r>
      <w:r>
        <w:t xml:space="preserve">från </w:t>
      </w:r>
      <w:r w:rsidR="00DF1D4B">
        <w:t>L</w:t>
      </w:r>
      <w:r>
        <w:t>antbruksregistret</w:t>
      </w:r>
      <w:r w:rsidR="009F1746">
        <w:t>.</w:t>
      </w:r>
    </w:p>
    <w:p w14:paraId="4DF6F864" w14:textId="117D8D43" w:rsidR="009F1746" w:rsidRDefault="009F1746" w:rsidP="00EF5DB2">
      <w:pPr>
        <w:tabs>
          <w:tab w:val="left" w:pos="851"/>
        </w:tabs>
      </w:pPr>
      <w:r>
        <w:t>U</w:t>
      </w:r>
      <w:r w:rsidR="00EF5DB2" w:rsidRPr="00B85644">
        <w:t xml:space="preserve">ppgifter avseende direktersättningar inhämtas från administrativa register </w:t>
      </w:r>
      <w:r>
        <w:t xml:space="preserve">på </w:t>
      </w:r>
      <w:r w:rsidR="00EF5DB2" w:rsidRPr="00B85644">
        <w:t>Jordbruksverket</w:t>
      </w:r>
      <w:r>
        <w:t>, vidare hämtas uppgifter in om mjölkleveranser och uppgifter från Centrala nötkreatursregistret (CDB) på Jordbruksverket.</w:t>
      </w:r>
    </w:p>
    <w:p w14:paraId="02406EB4" w14:textId="69D9BC31" w:rsidR="00EA114F" w:rsidRDefault="005159DB" w:rsidP="00EF5DB2">
      <w:pPr>
        <w:tabs>
          <w:tab w:val="left" w:pos="851"/>
        </w:tabs>
      </w:pPr>
      <w:r>
        <w:t>Skördeuppgifterna avser växtodlingssäsongen som börjar hösten 201</w:t>
      </w:r>
      <w:r w:rsidR="009A40E0">
        <w:t>7</w:t>
      </w:r>
      <w:r>
        <w:t xml:space="preserve"> och avslutas med skörd 201</w:t>
      </w:r>
      <w:r w:rsidR="009A40E0">
        <w:t>8</w:t>
      </w:r>
      <w:r>
        <w:t xml:space="preserve">. </w:t>
      </w:r>
    </w:p>
    <w:p w14:paraId="777B2E88" w14:textId="5A4ACA51" w:rsidR="00FA5E96" w:rsidRPr="00EF5DB2" w:rsidRDefault="009755D1" w:rsidP="00EF5DB2">
      <w:pPr>
        <w:tabs>
          <w:tab w:val="left" w:pos="851"/>
        </w:tabs>
      </w:pPr>
      <w:r>
        <w:t xml:space="preserve">De administrativa data som samlas in till JEU bedöms hålla mycket hög kvalitet, eftersom de ligger till grund för stödutbetalningar o.d. </w:t>
      </w:r>
      <w:r w:rsidR="009475BA">
        <w:t>Direktinsamlade data genomgår en mycket omfattande granskning, även för att erhålla konsistens med insamlade administrativa data</w:t>
      </w:r>
      <w:r w:rsidR="00223155">
        <w:t>, se vidare avsnitt 2.2.5 nedan</w:t>
      </w:r>
      <w:r w:rsidR="009475BA">
        <w:t xml:space="preserve">. Anledningen till granskningens omfattning är att mikrodata sänds till EU och därvid genomgår omfattande kontroller. </w:t>
      </w:r>
      <w:r>
        <w:t xml:space="preserve">Mätning som </w:t>
      </w:r>
      <w:r w:rsidR="00EF5DB2" w:rsidRPr="00B85644">
        <w:t xml:space="preserve">felkälla torde </w:t>
      </w:r>
      <w:r w:rsidR="009475BA">
        <w:t xml:space="preserve">därför </w:t>
      </w:r>
      <w:r>
        <w:t xml:space="preserve">endast </w:t>
      </w:r>
      <w:r w:rsidR="00EF5DB2" w:rsidRPr="00B85644">
        <w:t xml:space="preserve">i mindre grad </w:t>
      </w:r>
      <w:r>
        <w:t>bidra till systematisk eller slumpmässig osäkerhet</w:t>
      </w:r>
      <w:r w:rsidR="009475BA">
        <w:t xml:space="preserve"> i JEU</w:t>
      </w:r>
      <w:bookmarkStart w:id="113" w:name="_Toc418595702"/>
      <w:bookmarkStart w:id="114" w:name="_Toc430277564"/>
      <w:r>
        <w:t>.</w:t>
      </w:r>
    </w:p>
    <w:p w14:paraId="4BB51BA8" w14:textId="77777777" w:rsidR="0012058D" w:rsidRPr="00597B5F" w:rsidRDefault="00FA5E96" w:rsidP="00597B5F">
      <w:pPr>
        <w:pStyle w:val="Rubrik3"/>
        <w:spacing w:before="240" w:after="40"/>
        <w:ind w:left="680" w:hanging="680"/>
        <w:rPr>
          <w:szCs w:val="18"/>
        </w:rPr>
      </w:pPr>
      <w:bookmarkStart w:id="115" w:name="_Toc449949581"/>
      <w:bookmarkStart w:id="116" w:name="_Toc467250869"/>
      <w:bookmarkStart w:id="117" w:name="_Toc467251701"/>
      <w:bookmarkStart w:id="118" w:name="_Toc467482237"/>
      <w:bookmarkStart w:id="119" w:name="_Toc2001582"/>
      <w:r w:rsidRPr="005A484A">
        <w:rPr>
          <w:szCs w:val="18"/>
        </w:rPr>
        <w:t>2.2.4</w:t>
      </w:r>
      <w:r w:rsidRPr="005A484A">
        <w:rPr>
          <w:szCs w:val="18"/>
        </w:rPr>
        <w:tab/>
        <w:t>Bortfall</w:t>
      </w:r>
      <w:bookmarkEnd w:id="113"/>
      <w:bookmarkEnd w:id="114"/>
      <w:bookmarkEnd w:id="115"/>
      <w:bookmarkEnd w:id="116"/>
      <w:bookmarkEnd w:id="117"/>
      <w:bookmarkEnd w:id="118"/>
      <w:bookmarkEnd w:id="119"/>
    </w:p>
    <w:p w14:paraId="760D0934" w14:textId="0F2A51C5" w:rsidR="002D1C99" w:rsidRDefault="0012058D" w:rsidP="0032674D">
      <w:r w:rsidRPr="00BA3B81">
        <w:t xml:space="preserve">I likhet med andra bokföringsundersökningar har JEU stora bortfallsproblem, som påverkas av att deltagandet i JEU innebär stor uppgiftslämnarbörda. </w:t>
      </w:r>
      <w:r w:rsidR="00FC3908">
        <w:t xml:space="preserve">Omkring 87 % av de företag som tillfrågades om att vara med i undersökningen valde att inte delta. </w:t>
      </w:r>
      <w:r w:rsidR="00FC3908" w:rsidRPr="00486E99">
        <w:t>Bortfallsföretagen ersattes av andra slumpmässigt valda företag så att svar från sammanlagt 1 017 företag erhölls.</w:t>
      </w:r>
      <w:r w:rsidR="00FC3908">
        <w:t xml:space="preserve"> </w:t>
      </w:r>
      <w:r w:rsidR="002D1C99">
        <w:t xml:space="preserve">Detta innebär ett slags </w:t>
      </w:r>
      <w:proofErr w:type="spellStart"/>
      <w:r w:rsidR="002D1C99">
        <w:t>objektimputering</w:t>
      </w:r>
      <w:proofErr w:type="spellEnd"/>
      <w:r w:rsidR="002D1C99">
        <w:t>: bortfallssubstitution via reservurval.</w:t>
      </w:r>
      <w:r w:rsidR="002D1C99" w:rsidRPr="00BA3B81">
        <w:t xml:space="preserve"> </w:t>
      </w:r>
      <w:r w:rsidR="009475BA">
        <w:t>Förfarandet kan leda till systematisk bortfallsosäkerhet.</w:t>
      </w:r>
    </w:p>
    <w:p w14:paraId="6A93094C" w14:textId="494B335E" w:rsidR="0032674D" w:rsidRDefault="0032674D" w:rsidP="0032674D">
      <w:r w:rsidRPr="00C42FF9">
        <w:t xml:space="preserve">Även för de som tackat ja till att delta i undersökningen var bortfallet omfattande. </w:t>
      </w:r>
      <w:r w:rsidR="00FC3908" w:rsidRPr="00486E99">
        <w:t>Av de 89 företag som rekryterades till 2018 års undersökning föll 31 procent bort under första året.</w:t>
      </w:r>
      <w:r w:rsidR="00FC3908">
        <w:t xml:space="preserve"> </w:t>
      </w:r>
      <w:r w:rsidRPr="00F05A8F">
        <w:t xml:space="preserve">Visst </w:t>
      </w:r>
      <w:r w:rsidR="00956AC7" w:rsidRPr="00F05A8F">
        <w:t xml:space="preserve">tillkommande </w:t>
      </w:r>
      <w:r w:rsidRPr="00F05A8F">
        <w:t>bortfall förekommer även bland de företag som deltagit flera</w:t>
      </w:r>
      <w:r>
        <w:t xml:space="preserve"> år, bortfallet bland dessa </w:t>
      </w:r>
      <w:r w:rsidRPr="00C42FF9">
        <w:t>är dock inte lika omfattande.</w:t>
      </w:r>
      <w:r w:rsidRPr="00BD064B">
        <w:t xml:space="preserve"> </w:t>
      </w:r>
    </w:p>
    <w:p w14:paraId="1CB09BD4" w14:textId="31DBBC81" w:rsidR="0032674D" w:rsidRDefault="0012058D" w:rsidP="0032674D">
      <w:r>
        <w:t xml:space="preserve">Det sammanlagda bortfallet är </w:t>
      </w:r>
      <w:r w:rsidR="0032674D">
        <w:t xml:space="preserve">därmed </w:t>
      </w:r>
      <w:r>
        <w:t>relativt stort</w:t>
      </w:r>
      <w:r w:rsidR="00223155">
        <w:t>.</w:t>
      </w:r>
      <w:r w:rsidR="00EF5DB2" w:rsidRPr="001030DA">
        <w:t xml:space="preserve"> </w:t>
      </w:r>
      <w:r w:rsidR="002D1C99">
        <w:t>Bortfallsandelen kan dock inte beräknas, eftersom urvalet närmast utgör en accesspanel.</w:t>
      </w:r>
    </w:p>
    <w:p w14:paraId="311BE67D" w14:textId="5AD12BAC" w:rsidR="00FA5E96" w:rsidRPr="00EF5DB2" w:rsidRDefault="00AA7645" w:rsidP="00223155">
      <w:r>
        <w:t xml:space="preserve">Speciella studier av bortfallet har gjorts vid några olika tillfällen och senast </w:t>
      </w:r>
      <w:r w:rsidRPr="00435D0F">
        <w:t>2007</w:t>
      </w:r>
      <w:r>
        <w:t>. Vid dessa studier har bland annat bortfallsföretagens uppgifter i LBR jämförts med de deltagande företagens LBR- och skatteuppgifter. Resultaten har inte visat på anmärkningsvärt stora skillnader, men slutsatser har varit svåra att dra då det inte är självklart att likställa</w:t>
      </w:r>
      <w:r w:rsidR="00DF1D4B">
        <w:t xml:space="preserve"> bortfallsmönstret för</w:t>
      </w:r>
      <w:r>
        <w:t xml:space="preserve"> målvariabler i JEU med </w:t>
      </w:r>
      <w:r w:rsidR="00DF1D4B">
        <w:t xml:space="preserve">mönstret för </w:t>
      </w:r>
      <w:r>
        <w:t>tillgängliga bakgrundsvariabler.</w:t>
      </w:r>
      <w:bookmarkStart w:id="120" w:name="_Toc418595703"/>
      <w:bookmarkStart w:id="121" w:name="_Toc430277565"/>
      <w:r w:rsidR="00223155">
        <w:t xml:space="preserve"> Det sammanlagda bortfallet kan främst ha en snedvridande (systematisk) effekt på undersökningens resultat, medan den slumpmässiga osäkerheten bedöms vara ett mindre problem.</w:t>
      </w:r>
    </w:p>
    <w:p w14:paraId="16661730" w14:textId="77777777" w:rsidR="00FA5E96" w:rsidRPr="005A484A" w:rsidRDefault="00FA5E96" w:rsidP="0077704B">
      <w:pPr>
        <w:pStyle w:val="Rubrik3"/>
        <w:spacing w:before="240" w:after="40"/>
        <w:ind w:left="680" w:hanging="680"/>
        <w:rPr>
          <w:szCs w:val="18"/>
        </w:rPr>
      </w:pPr>
      <w:bookmarkStart w:id="122" w:name="_Toc449949582"/>
      <w:bookmarkStart w:id="123" w:name="_Toc467250870"/>
      <w:bookmarkStart w:id="124" w:name="_Toc467251702"/>
      <w:bookmarkStart w:id="125" w:name="_Toc467482238"/>
      <w:bookmarkStart w:id="126" w:name="_Toc2001583"/>
      <w:r w:rsidRPr="005A484A">
        <w:rPr>
          <w:szCs w:val="18"/>
        </w:rPr>
        <w:t>2.2.5</w:t>
      </w:r>
      <w:r w:rsidRPr="005A484A">
        <w:rPr>
          <w:szCs w:val="18"/>
        </w:rPr>
        <w:tab/>
        <w:t>Bearbetning</w:t>
      </w:r>
      <w:bookmarkEnd w:id="120"/>
      <w:bookmarkEnd w:id="121"/>
      <w:bookmarkEnd w:id="122"/>
      <w:bookmarkEnd w:id="123"/>
      <w:bookmarkEnd w:id="124"/>
      <w:bookmarkEnd w:id="125"/>
      <w:bookmarkEnd w:id="126"/>
    </w:p>
    <w:p w14:paraId="659454BE" w14:textId="4AC1B64E" w:rsidR="00FA5E96" w:rsidRDefault="00EF5DB2" w:rsidP="00DF1D4B">
      <w:pPr>
        <w:pStyle w:val="Sidfot"/>
        <w:tabs>
          <w:tab w:val="left" w:pos="851"/>
        </w:tabs>
      </w:pPr>
      <w:r w:rsidRPr="00152ECE">
        <w:t xml:space="preserve">Primäruppgifterna från företagen registreras </w:t>
      </w:r>
      <w:r w:rsidR="00956AC7">
        <w:t>vid</w:t>
      </w:r>
      <w:r w:rsidR="00570ACA">
        <w:t xml:space="preserve"> LRF Konsult, som är underleverantör vid en större del av insamlingen, </w:t>
      </w:r>
      <w:r w:rsidRPr="00152ECE">
        <w:t xml:space="preserve">vid SCB </w:t>
      </w:r>
      <w:r w:rsidR="00570ACA">
        <w:t xml:space="preserve">och även direkt </w:t>
      </w:r>
      <w:r w:rsidR="00956AC7">
        <w:t>vid</w:t>
      </w:r>
      <w:r w:rsidR="00570ACA">
        <w:t xml:space="preserve"> Jordbruksverket</w:t>
      </w:r>
      <w:r w:rsidR="00223155">
        <w:t xml:space="preserve">. Direktinsamlade data och insamlade administrativa data integreras sedan i princip till ett observationsregister. Därefter vidtar både </w:t>
      </w:r>
      <w:r w:rsidRPr="00152ECE">
        <w:t>manuell och maskinell</w:t>
      </w:r>
      <w:r w:rsidR="00223155">
        <w:t xml:space="preserve"> granskning</w:t>
      </w:r>
      <w:r w:rsidRPr="00152ECE">
        <w:t>.</w:t>
      </w:r>
      <w:r>
        <w:t xml:space="preserve"> I den maskinella granskningen genomförs logiska kontroller och rimlighetskontroller. I de fall det framkommer att uppgiften inte uppfyller fastställda granskningskriterier skrivs ett felmeddelande ut för åtgärd. I logiska kontroller kontrolleras dels att värden finns för de obligatoriska uppgifterna, dels att logiska samband är uppfyllda. Rimlighetskontrollerna sker huvudsakligen genom att kvoter</w:t>
      </w:r>
      <w:r w:rsidR="00DA0C54">
        <w:t>, exempelvis levererad mjölkmängd delat med antal kor,</w:t>
      </w:r>
      <w:r>
        <w:t xml:space="preserve"> beräknas. Dessa kvoter jämförs sedan med undre och övre </w:t>
      </w:r>
      <w:r w:rsidR="00DF1D4B">
        <w:t>gräns</w:t>
      </w:r>
      <w:r>
        <w:t xml:space="preserve">värden. Om någon kvot ligger utanför gränsvärdena, tas en eller flera av de i kvoten ingående uppgifterna ut för kontroll och eventuell </w:t>
      </w:r>
      <w:bookmarkStart w:id="127" w:name="_Toc418595704"/>
      <w:bookmarkStart w:id="128" w:name="_Toc430277566"/>
      <w:r w:rsidR="000F4CD4">
        <w:t>åtgärd</w:t>
      </w:r>
      <w:r w:rsidR="00DA0C54">
        <w:t>.</w:t>
      </w:r>
    </w:p>
    <w:p w14:paraId="33E59FF6" w14:textId="74A55F75" w:rsidR="00487582" w:rsidRDefault="00487582" w:rsidP="00DF1D4B">
      <w:pPr>
        <w:pStyle w:val="Sidfot"/>
        <w:tabs>
          <w:tab w:val="left" w:pos="851"/>
        </w:tabs>
      </w:pPr>
    </w:p>
    <w:p w14:paraId="03C05922" w14:textId="77777777" w:rsidR="00223155" w:rsidRDefault="00487582" w:rsidP="00DF1D4B">
      <w:pPr>
        <w:pStyle w:val="Sidfot"/>
        <w:tabs>
          <w:tab w:val="left" w:pos="851"/>
        </w:tabs>
      </w:pPr>
      <w:r>
        <w:t>Makrogranskning (outputgranskning</w:t>
      </w:r>
      <w:r w:rsidR="002D56B3">
        <w:t>) genomförs dels maskinellt, dels manuellt</w:t>
      </w:r>
      <w:r w:rsidR="00622DE6">
        <w:t xml:space="preserve"> enligt standardiserad</w:t>
      </w:r>
      <w:r w:rsidR="002D56B3">
        <w:t xml:space="preserve"> </w:t>
      </w:r>
      <w:r w:rsidR="00622DE6">
        <w:t>checklista.</w:t>
      </w:r>
      <w:r w:rsidR="00223155">
        <w:t xml:space="preserve"> Syftet är att upptäcka dels kvarstående fel i mikrodata, dels </w:t>
      </w:r>
      <w:proofErr w:type="spellStart"/>
      <w:r w:rsidR="00223155">
        <w:t>outliers</w:t>
      </w:r>
      <w:proofErr w:type="spellEnd"/>
      <w:r w:rsidR="00223155">
        <w:t xml:space="preserve"> (avvikande värden som kan leda till missvisande skattningar), dels misstag vid beräkningarna. </w:t>
      </w:r>
    </w:p>
    <w:p w14:paraId="3B519DEF" w14:textId="77777777" w:rsidR="00223155" w:rsidRDefault="00223155" w:rsidP="00DF1D4B">
      <w:pPr>
        <w:pStyle w:val="Sidfot"/>
        <w:tabs>
          <w:tab w:val="left" w:pos="851"/>
        </w:tabs>
      </w:pPr>
    </w:p>
    <w:p w14:paraId="074C0D49" w14:textId="1C08AF76" w:rsidR="00487582" w:rsidRPr="00EF5DB2" w:rsidRDefault="00223155" w:rsidP="00DF1D4B">
      <w:pPr>
        <w:pStyle w:val="Sidfot"/>
        <w:tabs>
          <w:tab w:val="left" w:pos="851"/>
        </w:tabs>
      </w:pPr>
      <w:r>
        <w:t>Bearbetningsbrister bedöms sammantaget inte ha någon större effekt på tillförlitligheten.</w:t>
      </w:r>
    </w:p>
    <w:p w14:paraId="0683E1BB" w14:textId="77777777" w:rsidR="00FA5E96" w:rsidRPr="005A484A" w:rsidRDefault="00FA5E96" w:rsidP="0077704B">
      <w:pPr>
        <w:pStyle w:val="Rubrik3"/>
        <w:spacing w:before="240" w:after="40"/>
        <w:ind w:left="680" w:hanging="680"/>
        <w:rPr>
          <w:szCs w:val="18"/>
        </w:rPr>
      </w:pPr>
      <w:bookmarkStart w:id="129" w:name="_Toc449949583"/>
      <w:bookmarkStart w:id="130" w:name="_Toc467250871"/>
      <w:bookmarkStart w:id="131" w:name="_Toc467251703"/>
      <w:bookmarkStart w:id="132" w:name="_Toc467482239"/>
      <w:bookmarkStart w:id="133" w:name="_Toc2001584"/>
      <w:r w:rsidRPr="005A484A">
        <w:rPr>
          <w:szCs w:val="18"/>
        </w:rPr>
        <w:t>2.2.6</w:t>
      </w:r>
      <w:r w:rsidRPr="005A484A">
        <w:rPr>
          <w:szCs w:val="18"/>
        </w:rPr>
        <w:tab/>
        <w:t>Modellantaganden</w:t>
      </w:r>
      <w:bookmarkEnd w:id="127"/>
      <w:bookmarkEnd w:id="128"/>
      <w:bookmarkEnd w:id="129"/>
      <w:bookmarkEnd w:id="130"/>
      <w:bookmarkEnd w:id="131"/>
      <w:bookmarkEnd w:id="132"/>
      <w:bookmarkEnd w:id="133"/>
    </w:p>
    <w:p w14:paraId="4F316475" w14:textId="420910C3" w:rsidR="00487582" w:rsidRPr="002E7290" w:rsidRDefault="00487582" w:rsidP="00EF5DB2">
      <w:r w:rsidRPr="002E7290">
        <w:t>I skattningsförfarandet har</w:t>
      </w:r>
      <w:r w:rsidR="00622DE6">
        <w:t xml:space="preserve"> modellantagandet gjort</w:t>
      </w:r>
      <w:r w:rsidR="000F4CD4">
        <w:t>s</w:t>
      </w:r>
      <w:r w:rsidR="00B75DB1">
        <w:t xml:space="preserve"> att </w:t>
      </w:r>
      <w:r w:rsidR="00300DE0">
        <w:t>urvalet, eller egentligen de svarande företagen, kan betraktas som en accesspanel med lika stora sannolikheter för respektive företag att ingå (såsom om företagen dragits med ett obundet slumpmässigt urval). Därefter har poststratifiering, efter redovisningsgrupperna enligt den svenska typologin, t</w:t>
      </w:r>
      <w:r w:rsidR="009622D2">
        <w:t>illämpats. Sammanlagt har 14</w:t>
      </w:r>
      <w:r w:rsidR="000C7EC9">
        <w:t xml:space="preserve"> poststrata använts</w:t>
      </w:r>
      <w:r w:rsidR="00A021AD">
        <w:t xml:space="preserve"> för 16 redovisningsgrupper. Redovisningsgrupperna omfattar utöver poststrata även sammanslagningar till riket av </w:t>
      </w:r>
      <w:proofErr w:type="spellStart"/>
      <w:r w:rsidR="00A021AD">
        <w:t>riksområden</w:t>
      </w:r>
      <w:proofErr w:type="spellEnd"/>
      <w:r w:rsidR="00A021AD">
        <w:t xml:space="preserve"> för de två mindre storleksgrupperna för mjölkföretag</w:t>
      </w:r>
      <w:r w:rsidR="000C7EC9">
        <w:t>. Felmarginalerna har beräknats utifrån samma modellantaganden.</w:t>
      </w:r>
      <w:r w:rsidR="00D72C29">
        <w:t xml:space="preserve"> Modellosäkerheten är svårbedömd, se vidare avsnitt 2.2.4 ovan</w:t>
      </w:r>
      <w:r w:rsidR="00AE59D2">
        <w:t>, men avser främst systematiska effekter.</w:t>
      </w:r>
    </w:p>
    <w:p w14:paraId="0C777B35" w14:textId="619BBC40" w:rsidR="00582C96" w:rsidRPr="00EF5DB2" w:rsidRDefault="00EF7BB1" w:rsidP="00EF5DB2">
      <w:r w:rsidRPr="00296674">
        <w:t>Vissa variabler, exempelvis</w:t>
      </w:r>
      <w:r w:rsidR="00EF5DB2" w:rsidRPr="00296674">
        <w:t xml:space="preserve"> avskrivningar, är beräknade </w:t>
      </w:r>
      <w:r w:rsidRPr="00296674">
        <w:t>enligt antagna avskrivningsmodeller, utifrån andra observations</w:t>
      </w:r>
      <w:r w:rsidR="00EF5DB2" w:rsidRPr="00296674">
        <w:t>variabler</w:t>
      </w:r>
      <w:r w:rsidRPr="00296674">
        <w:t>, t.ex. anskaffningsvärden</w:t>
      </w:r>
      <w:r w:rsidR="00EF5DB2" w:rsidRPr="00296674">
        <w:t>.</w:t>
      </w:r>
      <w:bookmarkStart w:id="134" w:name="_Toc92287718"/>
      <w:bookmarkStart w:id="135" w:name="_Toc92298978"/>
      <w:bookmarkStart w:id="136" w:name="_Toc92299133"/>
      <w:bookmarkStart w:id="137" w:name="_Toc92299174"/>
      <w:bookmarkStart w:id="138" w:name="_Toc92299289"/>
      <w:bookmarkStart w:id="139" w:name="_Toc92299433"/>
      <w:bookmarkStart w:id="140" w:name="_Toc92299474"/>
      <w:bookmarkStart w:id="141" w:name="_Toc418595705"/>
      <w:bookmarkStart w:id="142" w:name="_Toc430277567"/>
    </w:p>
    <w:p w14:paraId="5EBE638A" w14:textId="77777777" w:rsidR="00FA5E96" w:rsidRPr="005A484A" w:rsidRDefault="00FA5E96" w:rsidP="0077704B">
      <w:pPr>
        <w:pStyle w:val="Rubrik2"/>
        <w:spacing w:before="240" w:after="40"/>
        <w:ind w:left="680" w:hanging="680"/>
        <w:rPr>
          <w:szCs w:val="20"/>
        </w:rPr>
      </w:pPr>
      <w:bookmarkStart w:id="143" w:name="_Toc449949584"/>
      <w:bookmarkStart w:id="144" w:name="_Toc467250872"/>
      <w:bookmarkStart w:id="145" w:name="_Toc467251704"/>
      <w:bookmarkStart w:id="146" w:name="_Toc467482240"/>
      <w:bookmarkStart w:id="147" w:name="_Toc2001585"/>
      <w:r w:rsidRPr="005A484A">
        <w:rPr>
          <w:szCs w:val="20"/>
        </w:rPr>
        <w:t>2.3</w:t>
      </w:r>
      <w:r w:rsidRPr="005A484A">
        <w:rPr>
          <w:szCs w:val="20"/>
        </w:rPr>
        <w:tab/>
      </w:r>
      <w:bookmarkEnd w:id="134"/>
      <w:bookmarkEnd w:id="135"/>
      <w:bookmarkEnd w:id="136"/>
      <w:bookmarkEnd w:id="137"/>
      <w:bookmarkEnd w:id="138"/>
      <w:bookmarkEnd w:id="139"/>
      <w:bookmarkEnd w:id="140"/>
      <w:r w:rsidRPr="005A484A">
        <w:rPr>
          <w:szCs w:val="20"/>
        </w:rPr>
        <w:t>Preliminär statistik jämförd med slutlig</w:t>
      </w:r>
      <w:bookmarkEnd w:id="141"/>
      <w:bookmarkEnd w:id="142"/>
      <w:bookmarkEnd w:id="143"/>
      <w:bookmarkEnd w:id="144"/>
      <w:bookmarkEnd w:id="145"/>
      <w:bookmarkEnd w:id="146"/>
      <w:bookmarkEnd w:id="147"/>
    </w:p>
    <w:p w14:paraId="40A3A0A1" w14:textId="6646C94E" w:rsidR="00582C96" w:rsidRPr="00080E9D" w:rsidRDefault="00701199" w:rsidP="00080E9D">
      <w:r>
        <w:t>Från och med</w:t>
      </w:r>
      <w:r w:rsidR="00080E9D">
        <w:t xml:space="preserve"> undersökningsår </w:t>
      </w:r>
      <w:r>
        <w:t>2017 sker</w:t>
      </w:r>
      <w:r w:rsidR="00080E9D">
        <w:t xml:space="preserve"> ingen redovisni</w:t>
      </w:r>
      <w:r>
        <w:t>ng av preliminär statistik</w:t>
      </w:r>
      <w:r w:rsidR="00080E9D">
        <w:t>.</w:t>
      </w:r>
    </w:p>
    <w:p w14:paraId="60561109" w14:textId="77777777" w:rsidR="00FA5E96" w:rsidRPr="00FF0CB7" w:rsidRDefault="00FA5E96" w:rsidP="0077704B">
      <w:pPr>
        <w:pStyle w:val="Rubrik1"/>
        <w:ind w:left="680" w:hanging="680"/>
        <w:rPr>
          <w:sz w:val="24"/>
          <w:szCs w:val="24"/>
        </w:rPr>
      </w:pPr>
      <w:bookmarkStart w:id="148" w:name="_Toc467250873"/>
      <w:bookmarkStart w:id="149" w:name="_Toc467251705"/>
      <w:bookmarkStart w:id="150" w:name="_Toc467482241"/>
      <w:bookmarkStart w:id="151" w:name="_Toc2001586"/>
      <w:r w:rsidRPr="00FF0CB7">
        <w:rPr>
          <w:sz w:val="24"/>
          <w:szCs w:val="24"/>
        </w:rPr>
        <w:t>3</w:t>
      </w:r>
      <w:r w:rsidRPr="00FF0CB7">
        <w:rPr>
          <w:sz w:val="24"/>
          <w:szCs w:val="24"/>
        </w:rPr>
        <w:tab/>
        <w:t>Aktualitet och punktlighet</w:t>
      </w:r>
      <w:bookmarkEnd w:id="148"/>
      <w:bookmarkEnd w:id="149"/>
      <w:bookmarkEnd w:id="150"/>
      <w:bookmarkEnd w:id="151"/>
    </w:p>
    <w:p w14:paraId="60D86A39" w14:textId="77777777" w:rsidR="00FA5E96" w:rsidRPr="005A3C47" w:rsidRDefault="00FA5E96" w:rsidP="0077704B">
      <w:pPr>
        <w:pStyle w:val="Rubrik2"/>
        <w:spacing w:before="240" w:after="40"/>
        <w:ind w:left="680" w:hanging="680"/>
        <w:rPr>
          <w:sz w:val="20"/>
          <w:szCs w:val="20"/>
        </w:rPr>
      </w:pPr>
      <w:bookmarkStart w:id="152" w:name="_Toc467250874"/>
      <w:bookmarkStart w:id="153" w:name="_Toc467251706"/>
      <w:bookmarkStart w:id="154" w:name="_Toc467482242"/>
      <w:bookmarkStart w:id="155" w:name="_Toc2001587"/>
      <w:r w:rsidRPr="005A3C47">
        <w:rPr>
          <w:sz w:val="20"/>
          <w:szCs w:val="20"/>
        </w:rPr>
        <w:t>3.1</w:t>
      </w:r>
      <w:r w:rsidRPr="005A3C47">
        <w:rPr>
          <w:sz w:val="20"/>
          <w:szCs w:val="20"/>
        </w:rPr>
        <w:tab/>
        <w:t>Framställningstid</w:t>
      </w:r>
      <w:bookmarkEnd w:id="152"/>
      <w:bookmarkEnd w:id="153"/>
      <w:bookmarkEnd w:id="154"/>
      <w:bookmarkEnd w:id="155"/>
    </w:p>
    <w:p w14:paraId="696FF262" w14:textId="2B65650C" w:rsidR="00AA2F45" w:rsidRPr="00AA2F45" w:rsidRDefault="00EA114F" w:rsidP="00AA2F45">
      <w:r>
        <w:t>För de företag med kalenderår som boksluttidpunkt är f</w:t>
      </w:r>
      <w:r w:rsidR="00EF5DB2">
        <w:t xml:space="preserve">ramställningstiden </w:t>
      </w:r>
      <w:r w:rsidR="00A56FFC">
        <w:t xml:space="preserve"> drygt </w:t>
      </w:r>
      <w:r w:rsidR="00EF5DB2" w:rsidRPr="00E42934">
        <w:t>1</w:t>
      </w:r>
      <w:r w:rsidR="00EF5DB2">
        <w:t>4</w:t>
      </w:r>
      <w:r w:rsidR="00EF5DB2" w:rsidRPr="00E42934">
        <w:t xml:space="preserve"> månader</w:t>
      </w:r>
      <w:r w:rsidR="00A56FFC">
        <w:t>.</w:t>
      </w:r>
      <w:r>
        <w:t xml:space="preserve"> För företag med brutet bokslut är framställningstiden ett par månader kortare.</w:t>
      </w:r>
    </w:p>
    <w:p w14:paraId="06B2861A" w14:textId="77777777" w:rsidR="00FA5E96" w:rsidRPr="005A3C47" w:rsidRDefault="00FA5E96" w:rsidP="0077704B">
      <w:pPr>
        <w:pStyle w:val="Rubrik2"/>
        <w:spacing w:before="240" w:after="40"/>
        <w:ind w:left="680" w:hanging="680"/>
        <w:rPr>
          <w:sz w:val="20"/>
          <w:szCs w:val="20"/>
        </w:rPr>
      </w:pPr>
      <w:bookmarkStart w:id="156" w:name="_Toc467250875"/>
      <w:bookmarkStart w:id="157" w:name="_Toc467251707"/>
      <w:bookmarkStart w:id="158" w:name="_Toc467482243"/>
      <w:bookmarkStart w:id="159" w:name="_Toc2001588"/>
      <w:r w:rsidRPr="005A3C47">
        <w:rPr>
          <w:sz w:val="20"/>
          <w:szCs w:val="20"/>
        </w:rPr>
        <w:t>3.2</w:t>
      </w:r>
      <w:r w:rsidRPr="005A3C47">
        <w:rPr>
          <w:sz w:val="20"/>
          <w:szCs w:val="20"/>
        </w:rPr>
        <w:tab/>
        <w:t>Frekvens</w:t>
      </w:r>
      <w:bookmarkEnd w:id="156"/>
      <w:bookmarkEnd w:id="157"/>
      <w:bookmarkEnd w:id="158"/>
      <w:bookmarkEnd w:id="159"/>
    </w:p>
    <w:p w14:paraId="09CF4786" w14:textId="58F7FFF2" w:rsidR="00FA5E96" w:rsidRPr="00080E9D" w:rsidRDefault="005159DB" w:rsidP="00080E9D">
      <w:r>
        <w:t xml:space="preserve">Uppgiftsinsamling och statistikredovisning genomförs årligen, periodiciteten för målstorheterna är också en gång per år. </w:t>
      </w:r>
      <w:r w:rsidR="00080E9D">
        <w:t>U</w:t>
      </w:r>
      <w:r w:rsidR="00080E9D" w:rsidRPr="00E42934">
        <w:t>ndersökningen genomförs varje år</w:t>
      </w:r>
      <w:r w:rsidR="00080E9D">
        <w:t>.</w:t>
      </w:r>
    </w:p>
    <w:p w14:paraId="6FF79C5E" w14:textId="77777777" w:rsidR="00FA5E96" w:rsidRPr="005A3C47" w:rsidRDefault="00FA5E96" w:rsidP="0077704B">
      <w:pPr>
        <w:pStyle w:val="Rubrik2"/>
        <w:spacing w:before="240" w:after="40"/>
        <w:ind w:left="680" w:hanging="680"/>
        <w:rPr>
          <w:sz w:val="20"/>
          <w:szCs w:val="20"/>
        </w:rPr>
      </w:pPr>
      <w:bookmarkStart w:id="160" w:name="_Toc467250876"/>
      <w:bookmarkStart w:id="161" w:name="_Toc467251708"/>
      <w:bookmarkStart w:id="162" w:name="_Toc467482244"/>
      <w:bookmarkStart w:id="163" w:name="_Toc2001589"/>
      <w:r w:rsidRPr="005A3C47">
        <w:rPr>
          <w:sz w:val="20"/>
          <w:szCs w:val="20"/>
        </w:rPr>
        <w:t>3.3</w:t>
      </w:r>
      <w:r w:rsidRPr="005A3C47">
        <w:rPr>
          <w:sz w:val="20"/>
          <w:szCs w:val="20"/>
        </w:rPr>
        <w:tab/>
        <w:t>Punktlighet</w:t>
      </w:r>
      <w:bookmarkEnd w:id="160"/>
      <w:bookmarkEnd w:id="161"/>
      <w:bookmarkEnd w:id="162"/>
      <w:bookmarkEnd w:id="163"/>
    </w:p>
    <w:p w14:paraId="0936C74D" w14:textId="72FD08CA" w:rsidR="00582C96" w:rsidRPr="00080E9D" w:rsidRDefault="00080E9D" w:rsidP="00080E9D">
      <w:r>
        <w:t xml:space="preserve">Statistiken </w:t>
      </w:r>
      <w:r w:rsidR="00D72C29">
        <w:t xml:space="preserve">har </w:t>
      </w:r>
      <w:r>
        <w:t>publicera</w:t>
      </w:r>
      <w:r w:rsidR="00D72C29">
        <w:t>t</w:t>
      </w:r>
      <w:r>
        <w:t>s enligt publiceringsplan</w:t>
      </w:r>
      <w:r w:rsidR="00D72C29">
        <w:t xml:space="preserve"> för officiell statistik</w:t>
      </w:r>
      <w:r>
        <w:t>.</w:t>
      </w:r>
      <w:r w:rsidR="00BB6CD6">
        <w:t xml:space="preserve"> </w:t>
      </w:r>
    </w:p>
    <w:p w14:paraId="15887FE9" w14:textId="77777777" w:rsidR="00FA5E96" w:rsidRPr="00FF0CB7" w:rsidRDefault="00FA5E96" w:rsidP="0077704B">
      <w:pPr>
        <w:pStyle w:val="Rubrik1"/>
        <w:ind w:left="680" w:hanging="680"/>
        <w:rPr>
          <w:sz w:val="24"/>
          <w:szCs w:val="24"/>
        </w:rPr>
      </w:pPr>
      <w:bookmarkStart w:id="164" w:name="_Toc467250877"/>
      <w:bookmarkStart w:id="165" w:name="_Toc467251709"/>
      <w:bookmarkStart w:id="166" w:name="_Toc467482245"/>
      <w:bookmarkStart w:id="167" w:name="_Toc2001590"/>
      <w:r w:rsidRPr="00FF0CB7">
        <w:rPr>
          <w:sz w:val="24"/>
          <w:szCs w:val="24"/>
        </w:rPr>
        <w:t>4</w:t>
      </w:r>
      <w:r w:rsidRPr="00FF0CB7">
        <w:rPr>
          <w:sz w:val="24"/>
          <w:szCs w:val="24"/>
        </w:rPr>
        <w:tab/>
        <w:t>Tillgänglighet och tydlighet</w:t>
      </w:r>
      <w:bookmarkEnd w:id="164"/>
      <w:bookmarkEnd w:id="165"/>
      <w:bookmarkEnd w:id="166"/>
      <w:bookmarkEnd w:id="167"/>
    </w:p>
    <w:p w14:paraId="309FC432" w14:textId="77777777" w:rsidR="00FA5E96" w:rsidRPr="005A3C47" w:rsidRDefault="00FA5E96" w:rsidP="0077704B">
      <w:pPr>
        <w:pStyle w:val="Rubrik2"/>
        <w:spacing w:before="240" w:after="40"/>
        <w:ind w:left="680" w:hanging="680"/>
        <w:rPr>
          <w:sz w:val="20"/>
          <w:szCs w:val="20"/>
        </w:rPr>
      </w:pPr>
      <w:bookmarkStart w:id="168" w:name="_Toc467250878"/>
      <w:bookmarkStart w:id="169" w:name="_Toc467251710"/>
      <w:bookmarkStart w:id="170" w:name="_Toc467482246"/>
      <w:bookmarkStart w:id="171" w:name="_Toc2001591"/>
      <w:r w:rsidRPr="005A3C47">
        <w:rPr>
          <w:sz w:val="20"/>
          <w:szCs w:val="20"/>
        </w:rPr>
        <w:t>4.1</w:t>
      </w:r>
      <w:r w:rsidRPr="005A3C47">
        <w:rPr>
          <w:sz w:val="20"/>
          <w:szCs w:val="20"/>
        </w:rPr>
        <w:tab/>
        <w:t>Tillgång till statistiken</w:t>
      </w:r>
      <w:bookmarkEnd w:id="168"/>
      <w:bookmarkEnd w:id="169"/>
      <w:bookmarkEnd w:id="170"/>
      <w:bookmarkEnd w:id="171"/>
    </w:p>
    <w:p w14:paraId="7C366EA1" w14:textId="37EDF6A7" w:rsidR="00FA5E96" w:rsidRPr="00080E9D" w:rsidRDefault="00080E9D" w:rsidP="00080E9D">
      <w:r>
        <w:t xml:space="preserve">Statistiken finns tillgänglig som </w:t>
      </w:r>
      <w:r w:rsidR="00DF1D4B">
        <w:t xml:space="preserve">ett </w:t>
      </w:r>
      <w:r>
        <w:t xml:space="preserve">statistiskt meddelande på Jordbruksverkets </w:t>
      </w:r>
      <w:r w:rsidR="00DF1D4B">
        <w:t>webbplats</w:t>
      </w:r>
      <w:r>
        <w:t xml:space="preserve">, </w:t>
      </w:r>
      <w:hyperlink r:id="rId9" w:history="1">
        <w:r w:rsidRPr="00AB3BD9">
          <w:rPr>
            <w:rStyle w:val="Hyperlnk"/>
          </w:rPr>
          <w:t>www.jordbruksverket.se</w:t>
        </w:r>
      </w:hyperlink>
      <w:r>
        <w:t xml:space="preserve"> och på SCB:s </w:t>
      </w:r>
      <w:r w:rsidR="00DF1D4B">
        <w:t>webbplats</w:t>
      </w:r>
      <w:r>
        <w:t xml:space="preserve">, </w:t>
      </w:r>
      <w:hyperlink r:id="rId10" w:history="1">
        <w:r w:rsidRPr="00AB3BD9">
          <w:rPr>
            <w:rStyle w:val="Hyperlnk"/>
          </w:rPr>
          <w:t>www.scb.se</w:t>
        </w:r>
      </w:hyperlink>
      <w:r w:rsidR="00DF1D4B">
        <w:t xml:space="preserve">. </w:t>
      </w:r>
      <w:r w:rsidRPr="00296674">
        <w:t xml:space="preserve">Publicering sker även till del i statistikdatabaser på dessa </w:t>
      </w:r>
      <w:r w:rsidR="00DF1D4B" w:rsidRPr="00296674">
        <w:t>webbplatser</w:t>
      </w:r>
      <w:r w:rsidRPr="00296674">
        <w:t>.</w:t>
      </w:r>
      <w:r>
        <w:t xml:space="preserve">  </w:t>
      </w:r>
    </w:p>
    <w:p w14:paraId="4F3F06BB" w14:textId="77777777" w:rsidR="00FA5E96" w:rsidRPr="005A3C47" w:rsidRDefault="00FA5E96" w:rsidP="0077704B">
      <w:pPr>
        <w:pStyle w:val="Rubrik2"/>
        <w:spacing w:before="240" w:after="40"/>
        <w:ind w:left="680" w:hanging="680"/>
        <w:rPr>
          <w:sz w:val="20"/>
          <w:szCs w:val="20"/>
        </w:rPr>
      </w:pPr>
      <w:bookmarkStart w:id="172" w:name="_Toc467250879"/>
      <w:bookmarkStart w:id="173" w:name="_Toc467251711"/>
      <w:bookmarkStart w:id="174" w:name="_Toc467482247"/>
      <w:bookmarkStart w:id="175" w:name="_Toc2001592"/>
      <w:r w:rsidRPr="005A3C47">
        <w:rPr>
          <w:sz w:val="20"/>
          <w:szCs w:val="20"/>
        </w:rPr>
        <w:t>4.2</w:t>
      </w:r>
      <w:r w:rsidRPr="005A3C47">
        <w:rPr>
          <w:sz w:val="20"/>
          <w:szCs w:val="20"/>
        </w:rPr>
        <w:tab/>
        <w:t>Möjlighet till ytterligare statistik</w:t>
      </w:r>
      <w:bookmarkEnd w:id="172"/>
      <w:bookmarkEnd w:id="173"/>
      <w:bookmarkEnd w:id="174"/>
      <w:bookmarkEnd w:id="175"/>
    </w:p>
    <w:p w14:paraId="3FF211AB" w14:textId="0383E712" w:rsidR="00FA5E96" w:rsidRPr="008F7ADC" w:rsidRDefault="008F7ADC" w:rsidP="008F7ADC">
      <w:pPr>
        <w:tabs>
          <w:tab w:val="left" w:pos="851"/>
        </w:tabs>
      </w:pPr>
      <w:r w:rsidRPr="00E42934">
        <w:t>Primär</w:t>
      </w:r>
      <w:r>
        <w:t xml:space="preserve">data som inte gallrats finns </w:t>
      </w:r>
      <w:r w:rsidR="00BD485D">
        <w:t xml:space="preserve">sparade </w:t>
      </w:r>
      <w:r>
        <w:t>vid Jordbruksverket</w:t>
      </w:r>
      <w:r w:rsidR="006B0647">
        <w:t xml:space="preserve"> och</w:t>
      </w:r>
      <w:r>
        <w:t xml:space="preserve"> SCB, i avvaktan på arkivering eller gallring. </w:t>
      </w:r>
    </w:p>
    <w:p w14:paraId="449CAFE0" w14:textId="77777777" w:rsidR="00FA5E96" w:rsidRPr="005A3C47" w:rsidRDefault="00FA5E96" w:rsidP="0077704B">
      <w:pPr>
        <w:pStyle w:val="Rubrik2"/>
        <w:spacing w:before="240" w:after="40"/>
        <w:ind w:left="680" w:hanging="680"/>
        <w:rPr>
          <w:sz w:val="20"/>
          <w:szCs w:val="20"/>
        </w:rPr>
      </w:pPr>
      <w:bookmarkStart w:id="176" w:name="_Toc467250880"/>
      <w:bookmarkStart w:id="177" w:name="_Toc467251712"/>
      <w:bookmarkStart w:id="178" w:name="_Toc467482248"/>
      <w:bookmarkStart w:id="179" w:name="_Toc2001593"/>
      <w:r w:rsidRPr="005A3C47">
        <w:rPr>
          <w:sz w:val="20"/>
          <w:szCs w:val="20"/>
        </w:rPr>
        <w:t>4.3</w:t>
      </w:r>
      <w:r w:rsidRPr="005A3C47">
        <w:rPr>
          <w:sz w:val="20"/>
          <w:szCs w:val="20"/>
        </w:rPr>
        <w:tab/>
        <w:t>Presentation</w:t>
      </w:r>
      <w:bookmarkEnd w:id="176"/>
      <w:bookmarkEnd w:id="177"/>
      <w:bookmarkEnd w:id="178"/>
      <w:bookmarkEnd w:id="179"/>
    </w:p>
    <w:p w14:paraId="4A140DA6" w14:textId="37B317A0" w:rsidR="00FA5E96" w:rsidRPr="008F7ADC" w:rsidRDefault="008F7ADC" w:rsidP="008F7ADC">
      <w:pPr>
        <w:tabs>
          <w:tab w:val="left" w:pos="851"/>
        </w:tabs>
      </w:pPr>
      <w:r w:rsidRPr="00E42934">
        <w:t>Presentation sker i form av text och tabeller.</w:t>
      </w:r>
    </w:p>
    <w:p w14:paraId="7E5C7B02" w14:textId="77777777" w:rsidR="00FA5E96" w:rsidRPr="005A3C47" w:rsidRDefault="00FA5E96" w:rsidP="0077704B">
      <w:pPr>
        <w:pStyle w:val="Rubrik2"/>
        <w:spacing w:before="240" w:after="40"/>
        <w:ind w:left="680" w:hanging="680"/>
        <w:rPr>
          <w:sz w:val="20"/>
          <w:szCs w:val="20"/>
        </w:rPr>
      </w:pPr>
      <w:bookmarkStart w:id="180" w:name="_Toc467250881"/>
      <w:bookmarkStart w:id="181" w:name="_Toc467251713"/>
      <w:bookmarkStart w:id="182" w:name="_Toc467482249"/>
      <w:bookmarkStart w:id="183" w:name="_Toc2001594"/>
      <w:r w:rsidRPr="005A3C47">
        <w:rPr>
          <w:sz w:val="20"/>
          <w:szCs w:val="20"/>
        </w:rPr>
        <w:t>4.4</w:t>
      </w:r>
      <w:r w:rsidRPr="005A3C47">
        <w:rPr>
          <w:sz w:val="20"/>
          <w:szCs w:val="20"/>
        </w:rPr>
        <w:tab/>
        <w:t>Dokumentation</w:t>
      </w:r>
      <w:bookmarkEnd w:id="180"/>
      <w:bookmarkEnd w:id="181"/>
      <w:bookmarkEnd w:id="182"/>
      <w:bookmarkEnd w:id="183"/>
    </w:p>
    <w:p w14:paraId="3CE7F689" w14:textId="4A75197B" w:rsidR="00582C96" w:rsidRPr="008F7ADC" w:rsidRDefault="008F7ADC" w:rsidP="008F7ADC">
      <w:r w:rsidRPr="00E42934">
        <w:t xml:space="preserve">Dokumentation </w:t>
      </w:r>
      <w:r>
        <w:t>sker i Statistiska meddelanden</w:t>
      </w:r>
      <w:r w:rsidR="00BD485D">
        <w:t>,</w:t>
      </w:r>
      <w:r>
        <w:t xml:space="preserve"> serie JO 40</w:t>
      </w:r>
      <w:r w:rsidR="00BD485D">
        <w:t>,</w:t>
      </w:r>
      <w:r w:rsidR="00701199">
        <w:t xml:space="preserve"> </w:t>
      </w:r>
      <w:r>
        <w:t>i denna kvalitetsdeklaration</w:t>
      </w:r>
      <w:r w:rsidR="00701199">
        <w:t xml:space="preserve"> och i dokumentation om statistikens framställning</w:t>
      </w:r>
      <w:r w:rsidRPr="00E42934">
        <w:t>.</w:t>
      </w:r>
    </w:p>
    <w:p w14:paraId="29E9B485" w14:textId="77777777" w:rsidR="00FA5E96" w:rsidRPr="00FF0CB7" w:rsidRDefault="00FA5E96" w:rsidP="0077704B">
      <w:pPr>
        <w:pStyle w:val="Rubrik1"/>
        <w:ind w:left="680" w:hanging="680"/>
        <w:rPr>
          <w:sz w:val="24"/>
          <w:szCs w:val="24"/>
        </w:rPr>
      </w:pPr>
      <w:bookmarkStart w:id="184" w:name="_Toc467250882"/>
      <w:bookmarkStart w:id="185" w:name="_Toc467251714"/>
      <w:bookmarkStart w:id="186" w:name="_Toc467482250"/>
      <w:bookmarkStart w:id="187" w:name="_Toc2001595"/>
      <w:r w:rsidRPr="00FF0CB7">
        <w:rPr>
          <w:sz w:val="24"/>
          <w:szCs w:val="24"/>
        </w:rPr>
        <w:t>5</w:t>
      </w:r>
      <w:r w:rsidRPr="00FF0CB7">
        <w:rPr>
          <w:sz w:val="24"/>
          <w:szCs w:val="24"/>
        </w:rPr>
        <w:tab/>
        <w:t>Jämförbarhet och samanvändbarhet</w:t>
      </w:r>
      <w:bookmarkEnd w:id="184"/>
      <w:bookmarkEnd w:id="185"/>
      <w:bookmarkEnd w:id="186"/>
      <w:bookmarkEnd w:id="187"/>
    </w:p>
    <w:p w14:paraId="05BF287D" w14:textId="77777777" w:rsidR="00FA5E96" w:rsidRPr="005A3C47" w:rsidRDefault="00FA5E96" w:rsidP="0077704B">
      <w:pPr>
        <w:pStyle w:val="Rubrik2"/>
        <w:spacing w:before="240" w:after="40"/>
        <w:ind w:left="680" w:hanging="680"/>
        <w:rPr>
          <w:sz w:val="20"/>
          <w:szCs w:val="20"/>
        </w:rPr>
      </w:pPr>
      <w:bookmarkStart w:id="188" w:name="_Toc467250883"/>
      <w:bookmarkStart w:id="189" w:name="_Toc467251715"/>
      <w:bookmarkStart w:id="190" w:name="_Toc467482251"/>
      <w:bookmarkStart w:id="191" w:name="_Toc2001596"/>
      <w:r w:rsidRPr="005A3C47">
        <w:rPr>
          <w:sz w:val="20"/>
          <w:szCs w:val="20"/>
        </w:rPr>
        <w:t>5.1</w:t>
      </w:r>
      <w:r w:rsidRPr="005A3C47">
        <w:rPr>
          <w:sz w:val="20"/>
          <w:szCs w:val="20"/>
        </w:rPr>
        <w:tab/>
        <w:t>Jämförbarhet över tid</w:t>
      </w:r>
      <w:bookmarkEnd w:id="188"/>
      <w:bookmarkEnd w:id="189"/>
      <w:bookmarkEnd w:id="190"/>
      <w:bookmarkEnd w:id="191"/>
    </w:p>
    <w:p w14:paraId="1180F28B" w14:textId="64164E3B" w:rsidR="008F7ADC" w:rsidRDefault="008F7ADC" w:rsidP="008F7ADC">
      <w:pPr>
        <w:tabs>
          <w:tab w:val="left" w:pos="851"/>
        </w:tabs>
      </w:pPr>
      <w:r>
        <w:t>I stort sett samma grupper av företag har studerats sedan 1988</w:t>
      </w:r>
      <w:r w:rsidR="00C74B84">
        <w:t>,</w:t>
      </w:r>
      <w:r>
        <w:t xml:space="preserve"> och variabelinnehållet var också under lång tid oförändrat. Fr.o.m. JEU 1996 gjordes dock en anpassning av datainnehållet, vilket på vissa punkter försvårar jämförelser. Fr.o.m. JEU 2002 gjordes en fullständig anpassning till FADN-definitionerna, vilket i några fall försvårar jämförelser.</w:t>
      </w:r>
    </w:p>
    <w:p w14:paraId="1AE57BA4" w14:textId="49AF477D" w:rsidR="008F7ADC" w:rsidRDefault="008F7ADC" w:rsidP="008F7ADC">
      <w:pPr>
        <w:tabs>
          <w:tab w:val="left" w:pos="851"/>
        </w:tabs>
      </w:pPr>
      <w:r w:rsidRPr="004E7709">
        <w:t xml:space="preserve">Från </w:t>
      </w:r>
      <w:r w:rsidR="001947C6">
        <w:t xml:space="preserve">referensåret </w:t>
      </w:r>
      <w:r w:rsidRPr="004E7709">
        <w:t>2007 ändra</w:t>
      </w:r>
      <w:r>
        <w:t>de</w:t>
      </w:r>
      <w:r w:rsidRPr="004E7709">
        <w:t>s metoden för kapitalvärdering av byggnader</w:t>
      </w:r>
      <w:r>
        <w:t xml:space="preserve">. Den tidigare metoden </w:t>
      </w:r>
      <w:r w:rsidR="00D72C29">
        <w:t xml:space="preserve">hade </w:t>
      </w:r>
      <w:r w:rsidR="001947C6">
        <w:t>använ</w:t>
      </w:r>
      <w:r w:rsidR="00D72C29">
        <w:t>t</w:t>
      </w:r>
      <w:r>
        <w:t xml:space="preserve">s sedan mitten av </w:t>
      </w:r>
      <w:r w:rsidR="00D72C29">
        <w:t>19</w:t>
      </w:r>
      <w:r>
        <w:t>90-talet</w:t>
      </w:r>
      <w:r w:rsidRPr="004E7709">
        <w:t xml:space="preserve">. </w:t>
      </w:r>
      <w:r>
        <w:t>Tidigare har bedömningar av bl.</w:t>
      </w:r>
      <w:r w:rsidRPr="004E7709">
        <w:t>a. byggnadernas användning och skick varit underlag för kapitalvärdering</w:t>
      </w:r>
      <w:r w:rsidR="00BD485D">
        <w:t>,</w:t>
      </w:r>
      <w:r w:rsidRPr="004E7709">
        <w:t xml:space="preserve"> medan det från 2007 baser</w:t>
      </w:r>
      <w:r>
        <w:t>as på anskaffningsvärdet. A</w:t>
      </w:r>
      <w:r w:rsidRPr="004E7709">
        <w:t>vskrivningstiden för byggnader har</w:t>
      </w:r>
      <w:r>
        <w:t xml:space="preserve"> samtidigt</w:t>
      </w:r>
      <w:r w:rsidRPr="004E7709">
        <w:t xml:space="preserve"> kortats</w:t>
      </w:r>
      <w:r>
        <w:t>,</w:t>
      </w:r>
      <w:r w:rsidRPr="004E7709">
        <w:t xml:space="preserve"> vilket </w:t>
      </w:r>
      <w:r>
        <w:t xml:space="preserve">i många fall </w:t>
      </w:r>
      <w:r w:rsidRPr="004E7709">
        <w:t>medför lägre avskrivningskostnader för företa</w:t>
      </w:r>
      <w:r>
        <w:t>g</w:t>
      </w:r>
      <w:r w:rsidRPr="004E7709">
        <w:t xml:space="preserve"> med </w:t>
      </w:r>
      <w:r>
        <w:t xml:space="preserve">mestadels </w:t>
      </w:r>
      <w:r w:rsidRPr="004E7709">
        <w:t>äldre byggnader</w:t>
      </w:r>
      <w:r>
        <w:t xml:space="preserve"> och högre avskrivningskostnader för företag med nya byggnader</w:t>
      </w:r>
      <w:r w:rsidRPr="004E7709">
        <w:t>.</w:t>
      </w:r>
    </w:p>
    <w:p w14:paraId="70C4FE71" w14:textId="7979FE29" w:rsidR="008F7ADC" w:rsidRDefault="008F7ADC" w:rsidP="008F7ADC">
      <w:pPr>
        <w:tabs>
          <w:tab w:val="left" w:pos="851"/>
        </w:tabs>
      </w:pPr>
      <w:r>
        <w:t xml:space="preserve">Från </w:t>
      </w:r>
      <w:r w:rsidR="00296674">
        <w:t xml:space="preserve">referensåret </w:t>
      </w:r>
      <w:r>
        <w:t>2014 görs en övergång till att i kapitalvärderingen vad avser förbättringar av markområden, maskiner och utrustning</w:t>
      </w:r>
      <w:r w:rsidR="00D72C29">
        <w:t xml:space="preserve"> samt</w:t>
      </w:r>
      <w:r>
        <w:t xml:space="preserve"> icke säljbara immateriella tillgångar, utgå från anskaffningsvärdet. Avskrivningarna beräknas också på anskaffningsvärdet för dessa poster. Denna övergång görs i enlighet med Kommissionens genomförandeförordning (EU) nr 1320/2013. I och med </w:t>
      </w:r>
      <w:r w:rsidR="00296674">
        <w:t xml:space="preserve">referensåret </w:t>
      </w:r>
      <w:r>
        <w:t>2014 medräknades också fler intäkter från andra verksamheter jämfört med tidigare. Det kan vara intäkter från t.ex. turism och förnybar energi som tidigare inte varit medräknade.</w:t>
      </w:r>
    </w:p>
    <w:p w14:paraId="50623A46" w14:textId="48DA4313" w:rsidR="008F7ADC" w:rsidRDefault="008F7ADC" w:rsidP="008F7ADC">
      <w:pPr>
        <w:tabs>
          <w:tab w:val="left" w:pos="851"/>
        </w:tabs>
      </w:pPr>
      <w:r>
        <w:t>Före 1988 tillämpades en storleksindelning efter hektar åker, vilke</w:t>
      </w:r>
      <w:r w:rsidR="00BD485D">
        <w:t>n</w:t>
      </w:r>
      <w:r w:rsidR="00622DE6">
        <w:t xml:space="preserve"> inte är jämförbar</w:t>
      </w:r>
      <w:r>
        <w:t xml:space="preserve"> med nuvarande klassificering (se 1.</w:t>
      </w:r>
      <w:r w:rsidR="000F4CD4">
        <w:t>2</w:t>
      </w:r>
      <w:r>
        <w:t xml:space="preserve">.4 Redovisningsgrupper). </w:t>
      </w:r>
      <w:r w:rsidRPr="00145E6A">
        <w:t>I SM:</w:t>
      </w:r>
      <w:r>
        <w:t>e</w:t>
      </w:r>
      <w:r w:rsidRPr="00145E6A">
        <w:t xml:space="preserve">t redovisas uppgifterna också enligt EU:s typologi. </w:t>
      </w:r>
      <w:r>
        <w:t>Inom EU tillämpas en företagsklassificering som grundas på s.k. standardiserad intäkt</w:t>
      </w:r>
      <w:r w:rsidR="00BD485D">
        <w:t xml:space="preserve"> </w:t>
      </w:r>
      <w:r>
        <w:t xml:space="preserve">(Standard Output). </w:t>
      </w:r>
      <w:r w:rsidRPr="00145E6A">
        <w:t>Den</w:t>
      </w:r>
      <w:r w:rsidR="00D72C29">
        <w:t xml:space="preserve"> ersatte standardiserat täckningsbidrag</w:t>
      </w:r>
      <w:r w:rsidR="00296674">
        <w:t xml:space="preserve"> från och med referens</w:t>
      </w:r>
      <w:r w:rsidRPr="00145E6A">
        <w:t>året 2010, vilket innebär att jämförelser över tid för den del av SM:</w:t>
      </w:r>
      <w:r>
        <w:t>e</w:t>
      </w:r>
      <w:r w:rsidRPr="00145E6A">
        <w:t>t som bygger på EU:s typologi inte kan göras.</w:t>
      </w:r>
    </w:p>
    <w:p w14:paraId="5133D053" w14:textId="2CFB3BFA" w:rsidR="00FA5E96" w:rsidRDefault="003C0C07" w:rsidP="008F7ADC">
      <w:pPr>
        <w:tabs>
          <w:tab w:val="left" w:pos="851"/>
        </w:tabs>
      </w:pPr>
      <w:r>
        <w:t xml:space="preserve">Skattningsförfarandet har ändrats något över åren. </w:t>
      </w:r>
      <w:r w:rsidR="008F7ADC" w:rsidRPr="002E7290">
        <w:t>Uppräknings</w:t>
      </w:r>
      <w:r>
        <w:t xml:space="preserve">talen </w:t>
      </w:r>
      <w:r w:rsidR="008F7ADC" w:rsidRPr="002E7290">
        <w:t>i JEU beräkna</w:t>
      </w:r>
      <w:r>
        <w:t>de</w:t>
      </w:r>
      <w:r w:rsidR="008F7ADC" w:rsidRPr="002E7290">
        <w:t xml:space="preserve">s </w:t>
      </w:r>
      <w:r w:rsidR="00296674">
        <w:t xml:space="preserve">förut </w:t>
      </w:r>
      <w:r w:rsidR="008F7ADC" w:rsidRPr="002E7290">
        <w:t>genom en sammanvägning av urval från tidigare år där varje enskilt urval har dragits från hela populationen.</w:t>
      </w:r>
      <w:r w:rsidR="00622DE6">
        <w:t xml:space="preserve"> För att korrigera detta tilldelades</w:t>
      </w:r>
      <w:r w:rsidR="008F7ADC" w:rsidRPr="002E7290">
        <w:t xml:space="preserve"> varje enskilt urval en s.k. panelvikt som beräknades som det enskilda urvalets andel av det totala urvalet. </w:t>
      </w:r>
      <w:r>
        <w:t>U</w:t>
      </w:r>
      <w:r w:rsidR="008F7ADC" w:rsidRPr="002E7290">
        <w:t>ppräknings</w:t>
      </w:r>
      <w:r>
        <w:t>talen</w:t>
      </w:r>
      <w:r w:rsidR="008F7ADC" w:rsidRPr="002E7290">
        <w:t xml:space="preserve"> har </w:t>
      </w:r>
      <w:r>
        <w:t xml:space="preserve">sedan </w:t>
      </w:r>
      <w:r w:rsidR="008F7ADC" w:rsidRPr="002E7290">
        <w:t xml:space="preserve">beräknats </w:t>
      </w:r>
      <w:r>
        <w:t xml:space="preserve">med poststratifiering, </w:t>
      </w:r>
      <w:r w:rsidR="008F7ADC" w:rsidRPr="002E7290">
        <w:t>som om hela urvalet har dragits vid ett enda tillfälle</w:t>
      </w:r>
      <w:r>
        <w:t>,</w:t>
      </w:r>
      <w:r w:rsidR="008F7ADC" w:rsidRPr="002E7290">
        <w:t xml:space="preserve"> och förfarandet med s.k. panelvikter har slopats. </w:t>
      </w:r>
      <w:r w:rsidR="004A595C">
        <w:t>Från</w:t>
      </w:r>
      <w:r w:rsidR="007E3F03">
        <w:t xml:space="preserve"> </w:t>
      </w:r>
      <w:r w:rsidR="000F4CD4">
        <w:t xml:space="preserve">och med </w:t>
      </w:r>
      <w:r w:rsidR="00296674">
        <w:t xml:space="preserve">referensåret </w:t>
      </w:r>
      <w:r w:rsidR="004A595C">
        <w:t>2016</w:t>
      </w:r>
      <w:r>
        <w:t xml:space="preserve"> har en grövre, mer robust, poststratifiering tillämpats. Effekten på skattningarna av ändringar i skattningsförfarandet bedöms vara mindre än den osäkerhet som uppstår på grund av urval och bortfall.</w:t>
      </w:r>
    </w:p>
    <w:p w14:paraId="2E95780C" w14:textId="784C1C05" w:rsidR="0032674D" w:rsidRDefault="0032674D" w:rsidP="0032674D">
      <w:r>
        <w:t>Till redovisning</w:t>
      </w:r>
      <w:r w:rsidR="00D90609">
        <w:t>en</w:t>
      </w:r>
      <w:r>
        <w:t xml:space="preserve"> av 2017 års resultat har företagen indelats enligt </w:t>
      </w:r>
      <w:r w:rsidR="00D90609">
        <w:t xml:space="preserve">den senaste reviderade </w:t>
      </w:r>
      <w:r>
        <w:t>svensk</w:t>
      </w:r>
      <w:r w:rsidR="00D90609">
        <w:t>a</w:t>
      </w:r>
      <w:r>
        <w:t xml:space="preserve"> typologi</w:t>
      </w:r>
      <w:r w:rsidR="00D90609">
        <w:t xml:space="preserve">n, dvs. </w:t>
      </w:r>
      <w:r>
        <w:t xml:space="preserve">efter </w:t>
      </w:r>
      <w:proofErr w:type="spellStart"/>
      <w:r>
        <w:t>normtal</w:t>
      </w:r>
      <w:proofErr w:type="spellEnd"/>
      <w:r>
        <w:t xml:space="preserve"> och principer för </w:t>
      </w:r>
      <w:r w:rsidR="00D90609">
        <w:t xml:space="preserve">beräkning av </w:t>
      </w:r>
      <w:r>
        <w:t>standardtimmar och</w:t>
      </w:r>
      <w:r w:rsidR="00D90609">
        <w:t xml:space="preserve"> framtagande av</w:t>
      </w:r>
      <w:r>
        <w:t xml:space="preserve"> driftsinriktning som gäller enligt typologiutredning</w:t>
      </w:r>
      <w:r w:rsidR="00D90609">
        <w:t>en</w:t>
      </w:r>
      <w:r>
        <w:t xml:space="preserve"> som gjordes inför publicering av JO 35 SM 1401. Detta statistiska meddelande återfinns på </w:t>
      </w:r>
      <w:hyperlink r:id="rId11" w:history="1">
        <w:r w:rsidRPr="003755ED">
          <w:rPr>
            <w:rStyle w:val="Hyperlnk"/>
          </w:rPr>
          <w:t>www.jordbruksverket.se</w:t>
        </w:r>
      </w:hyperlink>
      <w:r>
        <w:t xml:space="preserve">. </w:t>
      </w:r>
    </w:p>
    <w:p w14:paraId="57DCBD91" w14:textId="49D14250" w:rsidR="00BB6CD6" w:rsidRPr="008F7ADC" w:rsidRDefault="0032674D" w:rsidP="0032674D">
      <w:r>
        <w:t xml:space="preserve">För typklassificering i JEU används de grunddata om </w:t>
      </w:r>
      <w:r w:rsidR="00FF20BB">
        <w:t>arealer och djur som insamlats till</w:t>
      </w:r>
      <w:r w:rsidR="00354982">
        <w:t xml:space="preserve"> JEU</w:t>
      </w:r>
      <w:r>
        <w:t>.</w:t>
      </w:r>
    </w:p>
    <w:p w14:paraId="4BCBDF3C" w14:textId="77777777" w:rsidR="00FA5E96" w:rsidRPr="005A3C47" w:rsidRDefault="00FA5E96" w:rsidP="0077704B">
      <w:pPr>
        <w:pStyle w:val="Rubrik2"/>
        <w:spacing w:before="240" w:after="40"/>
        <w:ind w:left="680" w:hanging="680"/>
        <w:rPr>
          <w:sz w:val="20"/>
          <w:szCs w:val="20"/>
        </w:rPr>
      </w:pPr>
      <w:bookmarkStart w:id="192" w:name="_Toc467250884"/>
      <w:bookmarkStart w:id="193" w:name="_Toc467251716"/>
      <w:bookmarkStart w:id="194" w:name="_Toc467482252"/>
      <w:bookmarkStart w:id="195" w:name="_Toc2001597"/>
      <w:r w:rsidRPr="005A3C47">
        <w:rPr>
          <w:sz w:val="20"/>
          <w:szCs w:val="20"/>
        </w:rPr>
        <w:t>5.2</w:t>
      </w:r>
      <w:r w:rsidRPr="005A3C47">
        <w:rPr>
          <w:sz w:val="20"/>
          <w:szCs w:val="20"/>
        </w:rPr>
        <w:tab/>
        <w:t>Jämförbarhet mellan grupper</w:t>
      </w:r>
      <w:bookmarkEnd w:id="192"/>
      <w:bookmarkEnd w:id="193"/>
      <w:bookmarkEnd w:id="194"/>
      <w:bookmarkEnd w:id="195"/>
    </w:p>
    <w:p w14:paraId="520E4A87" w14:textId="3E32A5ED" w:rsidR="0092218E" w:rsidRDefault="0092218E" w:rsidP="008F7ADC">
      <w:r>
        <w:t>Jämförbarheten mellan olika redovisningsgrupper är god.</w:t>
      </w:r>
    </w:p>
    <w:p w14:paraId="673FEDE4" w14:textId="3FD6F792" w:rsidR="00FA5E96" w:rsidRPr="008F7ADC" w:rsidRDefault="008F7ADC" w:rsidP="008F7ADC">
      <w:r>
        <w:t xml:space="preserve">Grupperingen av företagen i </w:t>
      </w:r>
      <w:r w:rsidRPr="00E42934">
        <w:t xml:space="preserve">olika driftsinriktningar med hjälp av typklassificeringssystemet </w:t>
      </w:r>
      <w:r w:rsidR="00BD485D">
        <w:t xml:space="preserve">(typologin) </w:t>
      </w:r>
      <w:r w:rsidRPr="00E42934">
        <w:t xml:space="preserve">innebär inte att resultatutvecklingen för </w:t>
      </w:r>
      <w:r>
        <w:t>renodlade</w:t>
      </w:r>
      <w:r w:rsidRPr="00E42934">
        <w:t xml:space="preserve"> produktionsgrenar</w:t>
      </w:r>
      <w:r w:rsidR="0092218E">
        <w:t xml:space="preserve"> (driftsgrenar)</w:t>
      </w:r>
      <w:r w:rsidRPr="00E42934">
        <w:t xml:space="preserve"> kan </w:t>
      </w:r>
      <w:r>
        <w:t>utläsas</w:t>
      </w:r>
      <w:r w:rsidRPr="00E42934">
        <w:t>. Detta sammanhänger med att företagen väljs efter sin driftsinriktning</w:t>
      </w:r>
      <w:r w:rsidR="00BD485D">
        <w:t xml:space="preserve">, som bestäms av den </w:t>
      </w:r>
      <w:r w:rsidR="00BD485D" w:rsidRPr="002E7290">
        <w:rPr>
          <w:i/>
        </w:rPr>
        <w:t>huvudsakliga</w:t>
      </w:r>
      <w:r w:rsidR="00BD485D">
        <w:t xml:space="preserve"> driftsgrenen</w:t>
      </w:r>
      <w:r w:rsidRPr="00E42934">
        <w:t>.</w:t>
      </w:r>
    </w:p>
    <w:p w14:paraId="1A962FA7" w14:textId="77777777" w:rsidR="00FA5E96" w:rsidRPr="005A3C47" w:rsidRDefault="00FA5E96" w:rsidP="0077704B">
      <w:pPr>
        <w:pStyle w:val="Rubrik2"/>
        <w:spacing w:before="240" w:after="40"/>
        <w:ind w:left="680" w:hanging="680"/>
        <w:rPr>
          <w:sz w:val="20"/>
          <w:szCs w:val="20"/>
        </w:rPr>
      </w:pPr>
      <w:bookmarkStart w:id="196" w:name="_Toc467250885"/>
      <w:bookmarkStart w:id="197" w:name="_Toc467251717"/>
      <w:bookmarkStart w:id="198" w:name="_Toc467482253"/>
      <w:bookmarkStart w:id="199" w:name="_Toc2001598"/>
      <w:r w:rsidRPr="005A3C47">
        <w:rPr>
          <w:sz w:val="20"/>
          <w:szCs w:val="20"/>
        </w:rPr>
        <w:t>5.3</w:t>
      </w:r>
      <w:r w:rsidRPr="005A3C47">
        <w:rPr>
          <w:sz w:val="20"/>
          <w:szCs w:val="20"/>
        </w:rPr>
        <w:tab/>
        <w:t>Samanvändbarhet i övrigt</w:t>
      </w:r>
      <w:bookmarkEnd w:id="196"/>
      <w:bookmarkEnd w:id="197"/>
      <w:bookmarkEnd w:id="198"/>
      <w:bookmarkEnd w:id="199"/>
    </w:p>
    <w:p w14:paraId="0EAEDBC2" w14:textId="4A889196" w:rsidR="00FA5E96" w:rsidRDefault="005B1C20" w:rsidP="005B1C20">
      <w:r>
        <w:t>Överens</w:t>
      </w:r>
      <w:r w:rsidR="00BD485D">
        <w:t>s</w:t>
      </w:r>
      <w:r>
        <w:t>tämmelsen är god med annan europeisk statistik redo</w:t>
      </w:r>
      <w:r w:rsidR="00296674">
        <w:t>visad inom FADN.</w:t>
      </w:r>
    </w:p>
    <w:p w14:paraId="744614A9" w14:textId="3345100E" w:rsidR="00296674" w:rsidRPr="005B1C20" w:rsidRDefault="00296674" w:rsidP="005B1C20">
      <w:r w:rsidRPr="00E8005B">
        <w:t xml:space="preserve">Ekonomisk statistik för hela jordbrukssektorn redovisas inom statistikgrenen </w:t>
      </w:r>
      <w:proofErr w:type="spellStart"/>
      <w:r>
        <w:t>Economic</w:t>
      </w:r>
      <w:proofErr w:type="spellEnd"/>
      <w:r>
        <w:t xml:space="preserve"> </w:t>
      </w:r>
      <w:proofErr w:type="spellStart"/>
      <w:r>
        <w:t>Accounts</w:t>
      </w:r>
      <w:proofErr w:type="spellEnd"/>
      <w:r>
        <w:t xml:space="preserve"> for </w:t>
      </w:r>
      <w:proofErr w:type="spellStart"/>
      <w:r>
        <w:t>Agriculture</w:t>
      </w:r>
      <w:proofErr w:type="spellEnd"/>
      <w:r>
        <w:t xml:space="preserve"> (</w:t>
      </w:r>
      <w:r w:rsidRPr="00E8005B">
        <w:t>EAA</w:t>
      </w:r>
      <w:r>
        <w:t>)</w:t>
      </w:r>
      <w:r w:rsidRPr="00E8005B">
        <w:t xml:space="preserve"> – ekonomisk kalkyl för jordbrukssektorn. Denna statistik publiceras på Jordbruksverkets webbplats </w:t>
      </w:r>
      <w:hyperlink r:id="rId12" w:history="1">
        <w:r w:rsidRPr="004A6CD6">
          <w:rPr>
            <w:rStyle w:val="Hyperlnk"/>
          </w:rPr>
          <w:t>www.jordbruksverket.se</w:t>
        </w:r>
      </w:hyperlink>
      <w:r w:rsidRPr="00E8005B">
        <w:t>.</w:t>
      </w:r>
    </w:p>
    <w:p w14:paraId="65315CE5" w14:textId="77777777" w:rsidR="00FA5E96" w:rsidRPr="005A3C47" w:rsidRDefault="00FA5E96" w:rsidP="0077704B">
      <w:pPr>
        <w:pStyle w:val="Rubrik2"/>
        <w:spacing w:before="240" w:after="40"/>
        <w:ind w:left="680" w:hanging="680"/>
        <w:rPr>
          <w:sz w:val="20"/>
          <w:szCs w:val="20"/>
        </w:rPr>
      </w:pPr>
      <w:bookmarkStart w:id="200" w:name="_Toc467250886"/>
      <w:bookmarkStart w:id="201" w:name="_Toc467251718"/>
      <w:bookmarkStart w:id="202" w:name="_Toc467482254"/>
      <w:bookmarkStart w:id="203" w:name="_Toc2001599"/>
      <w:r w:rsidRPr="005A3C47">
        <w:rPr>
          <w:sz w:val="20"/>
          <w:szCs w:val="20"/>
        </w:rPr>
        <w:t>5.4</w:t>
      </w:r>
      <w:r w:rsidRPr="005A3C47">
        <w:rPr>
          <w:sz w:val="20"/>
          <w:szCs w:val="20"/>
        </w:rPr>
        <w:tab/>
        <w:t>Numerisk överensstämmelse</w:t>
      </w:r>
      <w:bookmarkEnd w:id="200"/>
      <w:bookmarkEnd w:id="201"/>
      <w:bookmarkEnd w:id="202"/>
      <w:bookmarkEnd w:id="203"/>
    </w:p>
    <w:p w14:paraId="31C5989B" w14:textId="737D777E" w:rsidR="00A21E99" w:rsidRPr="00AA2F45" w:rsidRDefault="005B1C20" w:rsidP="00A21E99">
      <w:r>
        <w:t xml:space="preserve">Avrundning av genomsnittliga intäkts- och kostnadsposter </w:t>
      </w:r>
      <w:r w:rsidR="0092218E">
        <w:t>görs till hundratal kronor</w:t>
      </w:r>
      <w:r>
        <w:t xml:space="preserve">, vilket </w:t>
      </w:r>
      <w:r w:rsidR="0092218E">
        <w:t>leder till</w:t>
      </w:r>
      <w:r>
        <w:t xml:space="preserve"> att summering av </w:t>
      </w:r>
      <w:r w:rsidR="00BD485D">
        <w:t xml:space="preserve">dessa </w:t>
      </w:r>
      <w:r>
        <w:t xml:space="preserve">inte </w:t>
      </w:r>
      <w:r w:rsidR="00BD485D">
        <w:t xml:space="preserve">nödvändigtvis </w:t>
      </w:r>
      <w:r>
        <w:t>överensstämmer numeriskt</w:t>
      </w:r>
      <w:r w:rsidR="00BD485D">
        <w:t xml:space="preserve"> med summaposten</w:t>
      </w:r>
      <w:r>
        <w:t>.</w:t>
      </w:r>
    </w:p>
    <w:p w14:paraId="047C3CDE" w14:textId="77777777" w:rsidR="00922401" w:rsidRPr="00FF0CB7" w:rsidRDefault="00C95FB4" w:rsidP="005A3C47">
      <w:pPr>
        <w:pStyle w:val="Rubrik"/>
        <w:spacing w:before="240" w:after="40"/>
        <w:ind w:left="851" w:hanging="851"/>
        <w:rPr>
          <w:rFonts w:ascii="Arial" w:eastAsia="Times New Roman" w:hAnsi="Arial" w:cs="Arial"/>
          <w:b/>
          <w:sz w:val="28"/>
          <w:szCs w:val="28"/>
          <w:lang w:eastAsia="sv-SE"/>
        </w:rPr>
      </w:pPr>
      <w:bookmarkStart w:id="204" w:name="_Toc467250887"/>
      <w:bookmarkStart w:id="205" w:name="_Toc467251719"/>
      <w:bookmarkStart w:id="206" w:name="_Toc467482255"/>
      <w:bookmarkStart w:id="207" w:name="_Toc2001600"/>
      <w:r w:rsidRPr="00FF0CB7">
        <w:rPr>
          <w:rFonts w:ascii="Arial" w:eastAsia="Times New Roman" w:hAnsi="Arial" w:cs="Arial"/>
          <w:b/>
          <w:sz w:val="28"/>
          <w:szCs w:val="28"/>
          <w:lang w:eastAsia="sv-SE"/>
        </w:rPr>
        <w:t>Allmänna</w:t>
      </w:r>
      <w:r w:rsidR="00B2442C" w:rsidRPr="00FF0CB7">
        <w:rPr>
          <w:rFonts w:ascii="Arial" w:eastAsia="Times New Roman" w:hAnsi="Arial" w:cs="Arial"/>
          <w:b/>
          <w:sz w:val="28"/>
          <w:szCs w:val="28"/>
          <w:lang w:eastAsia="sv-SE"/>
        </w:rPr>
        <w:t xml:space="preserve"> </w:t>
      </w:r>
      <w:r w:rsidRPr="00FF0CB7">
        <w:rPr>
          <w:rFonts w:ascii="Arial" w:eastAsia="Times New Roman" w:hAnsi="Arial" w:cs="Arial"/>
          <w:b/>
          <w:sz w:val="28"/>
          <w:szCs w:val="28"/>
          <w:lang w:eastAsia="sv-SE"/>
        </w:rPr>
        <w:t>uppgifter</w:t>
      </w:r>
      <w:bookmarkEnd w:id="204"/>
      <w:bookmarkEnd w:id="205"/>
      <w:bookmarkEnd w:id="206"/>
      <w:bookmarkEnd w:id="207"/>
    </w:p>
    <w:p w14:paraId="2D37B9DC" w14:textId="77777777" w:rsidR="00922401" w:rsidRPr="00FF0CB7" w:rsidRDefault="00C9452D" w:rsidP="0077704B">
      <w:pPr>
        <w:pStyle w:val="Rubrik1"/>
        <w:ind w:left="680" w:hanging="680"/>
        <w:rPr>
          <w:sz w:val="24"/>
          <w:szCs w:val="24"/>
        </w:rPr>
      </w:pPr>
      <w:bookmarkStart w:id="208" w:name="_Toc435767592"/>
      <w:bookmarkStart w:id="209" w:name="_Toc467250888"/>
      <w:bookmarkStart w:id="210" w:name="_Toc467251720"/>
      <w:bookmarkStart w:id="211" w:name="_Toc467482256"/>
      <w:bookmarkStart w:id="212" w:name="_Toc2001601"/>
      <w:r w:rsidRPr="00FF0CB7">
        <w:rPr>
          <w:sz w:val="24"/>
          <w:szCs w:val="24"/>
        </w:rPr>
        <w:t>A</w:t>
      </w:r>
      <w:r w:rsidRPr="00FF0CB7">
        <w:rPr>
          <w:sz w:val="24"/>
          <w:szCs w:val="24"/>
        </w:rPr>
        <w:tab/>
      </w:r>
      <w:bookmarkEnd w:id="208"/>
      <w:r w:rsidR="0056476D" w:rsidRPr="00FF0CB7">
        <w:rPr>
          <w:sz w:val="24"/>
          <w:szCs w:val="24"/>
        </w:rPr>
        <w:t>K</w:t>
      </w:r>
      <w:r w:rsidR="00922401" w:rsidRPr="00FF0CB7">
        <w:rPr>
          <w:sz w:val="24"/>
          <w:szCs w:val="24"/>
        </w:rPr>
        <w:t>lassificering</w:t>
      </w:r>
      <w:r w:rsidR="0056476D" w:rsidRPr="00FF0CB7">
        <w:rPr>
          <w:sz w:val="24"/>
          <w:szCs w:val="24"/>
        </w:rPr>
        <w:t>en Sveriges officiella statistik</w:t>
      </w:r>
      <w:bookmarkEnd w:id="209"/>
      <w:bookmarkEnd w:id="210"/>
      <w:bookmarkEnd w:id="211"/>
      <w:bookmarkEnd w:id="212"/>
    </w:p>
    <w:p w14:paraId="4DE20304" w14:textId="53FFFF97" w:rsidR="008C5CC8" w:rsidRPr="0098546D" w:rsidRDefault="007D30E8" w:rsidP="008C5CC8">
      <w:pPr>
        <w:tabs>
          <w:tab w:val="left" w:pos="851"/>
        </w:tabs>
        <w:overflowPunct w:val="0"/>
        <w:autoSpaceDE w:val="0"/>
        <w:autoSpaceDN w:val="0"/>
        <w:adjustRightInd w:val="0"/>
        <w:spacing w:line="240" w:lineRule="auto"/>
        <w:textAlignment w:val="baseline"/>
        <w:rPr>
          <w:rFonts w:eastAsia="Times New Roman" w:cs="Times New Roman"/>
          <w:lang w:eastAsia="sv-SE"/>
        </w:rPr>
      </w:pPr>
      <w:r>
        <w:rPr>
          <w:rFonts w:eastAsia="Times New Roman" w:cs="Times New Roman"/>
          <w:lang w:eastAsia="sv-SE"/>
        </w:rPr>
        <w:t xml:space="preserve">Kvalitetsdeklarationen avser </w:t>
      </w:r>
      <w:r w:rsidR="000F4CD4">
        <w:rPr>
          <w:rFonts w:eastAsia="Times New Roman" w:cs="Times New Roman"/>
          <w:lang w:eastAsia="sv-SE"/>
        </w:rPr>
        <w:t>J</w:t>
      </w:r>
      <w:r>
        <w:rPr>
          <w:rFonts w:eastAsia="Times New Roman" w:cs="Times New Roman"/>
          <w:lang w:eastAsia="sv-SE"/>
        </w:rPr>
        <w:t>ordbruksekonomiska undersökningen</w:t>
      </w:r>
      <w:r w:rsidR="000F4CD4">
        <w:rPr>
          <w:rFonts w:eastAsia="Times New Roman" w:cs="Times New Roman"/>
          <w:lang w:eastAsia="sv-SE"/>
        </w:rPr>
        <w:t xml:space="preserve">, från vilken </w:t>
      </w:r>
      <w:r w:rsidR="0098546D">
        <w:rPr>
          <w:rFonts w:eastAsia="Times New Roman" w:cs="Times New Roman"/>
          <w:lang w:eastAsia="sv-SE"/>
        </w:rPr>
        <w:t>officiell statistik</w:t>
      </w:r>
      <w:r w:rsidR="000F4CD4">
        <w:rPr>
          <w:rFonts w:eastAsia="Times New Roman" w:cs="Times New Roman"/>
          <w:lang w:eastAsia="sv-SE"/>
        </w:rPr>
        <w:t xml:space="preserve"> publiceras</w:t>
      </w:r>
      <w:r w:rsidR="0098546D">
        <w:rPr>
          <w:rFonts w:eastAsia="Times New Roman" w:cs="Times New Roman"/>
          <w:lang w:eastAsia="sv-SE"/>
        </w:rPr>
        <w:t xml:space="preserve">. För statistik </w:t>
      </w:r>
      <w:r w:rsidR="0098546D">
        <w:t xml:space="preserve">som ingår i Sveriges officiella statistik (SOS) gäller särskilda regler för kvalitet och tillgänglighet, se lagen (2001:99) och förordningen (2001:100) om den officiella statistiken. </w:t>
      </w:r>
    </w:p>
    <w:p w14:paraId="729A7EFA" w14:textId="77777777" w:rsidR="00C9452D" w:rsidRPr="00FF0CB7" w:rsidRDefault="00C9452D" w:rsidP="0077704B">
      <w:pPr>
        <w:pStyle w:val="Rubrik1"/>
        <w:ind w:left="680" w:hanging="680"/>
        <w:rPr>
          <w:sz w:val="24"/>
          <w:szCs w:val="24"/>
        </w:rPr>
      </w:pPr>
      <w:bookmarkStart w:id="213" w:name="_Toc467250889"/>
      <w:bookmarkStart w:id="214" w:name="_Toc467251721"/>
      <w:bookmarkStart w:id="215" w:name="_Toc467482257"/>
      <w:bookmarkStart w:id="216" w:name="_Toc2001602"/>
      <w:r w:rsidRPr="00FF0CB7">
        <w:rPr>
          <w:sz w:val="24"/>
          <w:szCs w:val="24"/>
        </w:rPr>
        <w:t>B</w:t>
      </w:r>
      <w:r w:rsidRPr="00FF0CB7">
        <w:rPr>
          <w:sz w:val="24"/>
          <w:szCs w:val="24"/>
        </w:rPr>
        <w:tab/>
        <w:t>Sekretess</w:t>
      </w:r>
      <w:r w:rsidR="00C60C56" w:rsidRPr="00FF0CB7">
        <w:rPr>
          <w:sz w:val="24"/>
          <w:szCs w:val="24"/>
        </w:rPr>
        <w:t xml:space="preserve"> och personuppgiftsbehandling</w:t>
      </w:r>
      <w:bookmarkEnd w:id="213"/>
      <w:bookmarkEnd w:id="214"/>
      <w:bookmarkEnd w:id="215"/>
      <w:bookmarkEnd w:id="216"/>
    </w:p>
    <w:p w14:paraId="3F469C33" w14:textId="77777777" w:rsidR="000E5D78" w:rsidRDefault="0098546D" w:rsidP="005E0CA2">
      <w:pPr>
        <w:autoSpaceDE w:val="0"/>
        <w:autoSpaceDN w:val="0"/>
        <w:adjustRightInd w:val="0"/>
        <w:spacing w:after="0" w:line="240" w:lineRule="auto"/>
        <w:rPr>
          <w:rFonts w:eastAsia="Times New Roman" w:cs="Times New Roman"/>
          <w:lang w:eastAsia="sv-SE"/>
        </w:rPr>
      </w:pPr>
      <w:r w:rsidRPr="00AE395D">
        <w:rPr>
          <w:rFonts w:eastAsia="Times New Roman" w:cs="Times New Roman"/>
          <w:lang w:eastAsia="sv-SE"/>
        </w:rPr>
        <w:t>I myndigheternas särskilda verksamhet för framställning av statistik gäller sekretess enligt 24 kap. 8 § offentlighets- och sekretesslagen (2009:400).</w:t>
      </w:r>
      <w:r>
        <w:rPr>
          <w:rFonts w:eastAsia="Times New Roman" w:cs="Times New Roman"/>
          <w:lang w:eastAsia="sv-SE"/>
        </w:rPr>
        <w:t xml:space="preserve"> </w:t>
      </w:r>
    </w:p>
    <w:p w14:paraId="657570F3" w14:textId="77777777" w:rsidR="000E5D78" w:rsidRDefault="000E5D78" w:rsidP="005E0CA2">
      <w:pPr>
        <w:autoSpaceDE w:val="0"/>
        <w:autoSpaceDN w:val="0"/>
        <w:adjustRightInd w:val="0"/>
        <w:spacing w:after="0" w:line="240" w:lineRule="auto"/>
        <w:rPr>
          <w:rFonts w:eastAsia="Times New Roman" w:cs="Times New Roman"/>
          <w:lang w:eastAsia="sv-SE"/>
        </w:rPr>
      </w:pPr>
    </w:p>
    <w:p w14:paraId="2C062473" w14:textId="022A2D1F" w:rsidR="0081247B" w:rsidRPr="0098546D" w:rsidRDefault="00D61FF0" w:rsidP="005E0CA2">
      <w:pPr>
        <w:autoSpaceDE w:val="0"/>
        <w:autoSpaceDN w:val="0"/>
        <w:adjustRightInd w:val="0"/>
        <w:spacing w:after="0" w:line="240" w:lineRule="auto"/>
        <w:rPr>
          <w:rFonts w:eastAsia="Times New Roman" w:cs="Times New Roman"/>
          <w:lang w:eastAsia="sv-SE"/>
        </w:rPr>
      </w:pPr>
      <w:r w:rsidRPr="005E0CA2">
        <w:rPr>
          <w:rFonts w:eastAsia="Times New Roman" w:cs="Times New Roman"/>
          <w:lang w:eastAsia="sv-SE"/>
        </w:rPr>
        <w:t>Vid behandling av personuppgifter, dvs. information som direkt</w:t>
      </w:r>
      <w:r w:rsidR="000E5D78">
        <w:rPr>
          <w:rFonts w:eastAsia="Times New Roman" w:cs="Times New Roman"/>
          <w:lang w:eastAsia="sv-SE"/>
        </w:rPr>
        <w:t xml:space="preserve"> </w:t>
      </w:r>
      <w:r w:rsidRPr="005E0CA2">
        <w:rPr>
          <w:rFonts w:eastAsia="Times New Roman" w:cs="Times New Roman"/>
          <w:lang w:eastAsia="sv-SE"/>
        </w:rPr>
        <w:t>eller indirekt kan hänföras till en person som är i livet, gäller lagen</w:t>
      </w:r>
      <w:r w:rsidR="000E5D78">
        <w:rPr>
          <w:rFonts w:eastAsia="Times New Roman" w:cs="Times New Roman"/>
          <w:lang w:eastAsia="sv-SE"/>
        </w:rPr>
        <w:t xml:space="preserve"> </w:t>
      </w:r>
      <w:r w:rsidRPr="005E0CA2">
        <w:rPr>
          <w:rFonts w:eastAsia="Times New Roman" w:cs="Times New Roman"/>
          <w:lang w:eastAsia="sv-SE"/>
        </w:rPr>
        <w:t>(2001:99) och förordningen (2001:100) om den officiella statistiken</w:t>
      </w:r>
      <w:r w:rsidR="000E5D78">
        <w:rPr>
          <w:rFonts w:eastAsia="Times New Roman" w:cs="Times New Roman"/>
          <w:lang w:eastAsia="sv-SE"/>
        </w:rPr>
        <w:t xml:space="preserve"> </w:t>
      </w:r>
      <w:r w:rsidRPr="005E0CA2">
        <w:rPr>
          <w:rFonts w:eastAsia="Times New Roman" w:cs="Times New Roman"/>
          <w:lang w:eastAsia="sv-SE"/>
        </w:rPr>
        <w:t>samt EU:s dataskyddsförordning (2016/679).</w:t>
      </w:r>
    </w:p>
    <w:p w14:paraId="02B10B59" w14:textId="77777777" w:rsidR="00C9452D" w:rsidRPr="00FF0CB7" w:rsidRDefault="0081247B" w:rsidP="0077704B">
      <w:pPr>
        <w:pStyle w:val="Rubrik1"/>
        <w:ind w:left="680" w:hanging="680"/>
        <w:rPr>
          <w:sz w:val="24"/>
          <w:szCs w:val="22"/>
        </w:rPr>
      </w:pPr>
      <w:bookmarkStart w:id="217" w:name="_Toc467250890"/>
      <w:bookmarkStart w:id="218" w:name="_Toc467251722"/>
      <w:bookmarkStart w:id="219" w:name="_Toc467482258"/>
      <w:bookmarkStart w:id="220" w:name="_Toc2001603"/>
      <w:bookmarkStart w:id="221" w:name="_Toc435767597"/>
      <w:r w:rsidRPr="00FF0CB7">
        <w:rPr>
          <w:sz w:val="24"/>
          <w:szCs w:val="22"/>
        </w:rPr>
        <w:t>C</w:t>
      </w:r>
      <w:r w:rsidR="00C9452D" w:rsidRPr="00FF0CB7">
        <w:rPr>
          <w:sz w:val="24"/>
          <w:szCs w:val="22"/>
        </w:rPr>
        <w:tab/>
        <w:t>Bevarande och gallring</w:t>
      </w:r>
      <w:bookmarkEnd w:id="217"/>
      <w:bookmarkEnd w:id="218"/>
      <w:bookmarkEnd w:id="219"/>
      <w:bookmarkEnd w:id="220"/>
    </w:p>
    <w:p w14:paraId="5D0D1851" w14:textId="77777777" w:rsidR="00354A96" w:rsidRPr="0098546D" w:rsidRDefault="0098546D" w:rsidP="0098546D">
      <w:pPr>
        <w:tabs>
          <w:tab w:val="left" w:pos="851"/>
        </w:tabs>
        <w:overflowPunct w:val="0"/>
        <w:autoSpaceDE w:val="0"/>
        <w:autoSpaceDN w:val="0"/>
        <w:adjustRightInd w:val="0"/>
        <w:spacing w:line="240" w:lineRule="auto"/>
        <w:textAlignment w:val="baseline"/>
        <w:rPr>
          <w:rFonts w:eastAsia="Times New Roman" w:cs="Times New Roman"/>
          <w:lang w:eastAsia="sv-SE"/>
        </w:rPr>
      </w:pPr>
      <w:r w:rsidRPr="00296674">
        <w:t>Arbete med framtagning av gallringsföreskrifter pågår.</w:t>
      </w:r>
    </w:p>
    <w:p w14:paraId="5A6AC41A" w14:textId="77777777" w:rsidR="00C9452D" w:rsidRPr="00FF0CB7" w:rsidRDefault="0081247B" w:rsidP="0077704B">
      <w:pPr>
        <w:pStyle w:val="Rubrik1"/>
        <w:ind w:left="737" w:hanging="737"/>
        <w:rPr>
          <w:sz w:val="24"/>
          <w:szCs w:val="22"/>
        </w:rPr>
      </w:pPr>
      <w:bookmarkStart w:id="222" w:name="_Toc467250891"/>
      <w:bookmarkStart w:id="223" w:name="_Toc467251723"/>
      <w:bookmarkStart w:id="224" w:name="_Toc467482259"/>
      <w:bookmarkStart w:id="225" w:name="_Toc2001604"/>
      <w:r w:rsidRPr="00FF0CB7">
        <w:rPr>
          <w:sz w:val="24"/>
          <w:szCs w:val="22"/>
        </w:rPr>
        <w:t>D</w:t>
      </w:r>
      <w:r w:rsidR="00C9452D" w:rsidRPr="00FF0CB7">
        <w:rPr>
          <w:sz w:val="24"/>
          <w:szCs w:val="22"/>
        </w:rPr>
        <w:tab/>
        <w:t>Uppgiftsskyldighet</w:t>
      </w:r>
      <w:bookmarkEnd w:id="222"/>
      <w:bookmarkEnd w:id="223"/>
      <w:bookmarkEnd w:id="224"/>
      <w:bookmarkEnd w:id="225"/>
    </w:p>
    <w:p w14:paraId="4CF200C5" w14:textId="77777777" w:rsidR="006A626F" w:rsidRPr="0098546D" w:rsidRDefault="0098546D" w:rsidP="0098546D">
      <w:pPr>
        <w:tabs>
          <w:tab w:val="left" w:pos="851"/>
        </w:tabs>
        <w:overflowPunct w:val="0"/>
        <w:autoSpaceDE w:val="0"/>
        <w:autoSpaceDN w:val="0"/>
        <w:adjustRightInd w:val="0"/>
        <w:spacing w:line="240" w:lineRule="auto"/>
        <w:textAlignment w:val="baseline"/>
        <w:rPr>
          <w:rFonts w:eastAsia="Times New Roman" w:cs="Times New Roman"/>
          <w:lang w:eastAsia="sv-SE"/>
        </w:rPr>
      </w:pPr>
      <w:bookmarkStart w:id="226" w:name="_Toc435767596"/>
      <w:r>
        <w:rPr>
          <w:rFonts w:eastAsia="Times New Roman" w:cs="Times New Roman"/>
          <w:lang w:eastAsia="sv-SE"/>
        </w:rPr>
        <w:t>Uppgiftsskyldighet till denna statistik föreligger inte.</w:t>
      </w:r>
    </w:p>
    <w:p w14:paraId="7B1471E9" w14:textId="77777777" w:rsidR="00922401" w:rsidRPr="00FF0CB7" w:rsidRDefault="0081247B" w:rsidP="0077704B">
      <w:pPr>
        <w:pStyle w:val="Rubrik1"/>
        <w:ind w:left="680" w:hanging="680"/>
        <w:rPr>
          <w:sz w:val="24"/>
          <w:szCs w:val="22"/>
        </w:rPr>
      </w:pPr>
      <w:bookmarkStart w:id="227" w:name="_Toc435767598"/>
      <w:bookmarkStart w:id="228" w:name="_Toc467250892"/>
      <w:bookmarkStart w:id="229" w:name="_Toc467251724"/>
      <w:bookmarkStart w:id="230" w:name="_Toc467482260"/>
      <w:bookmarkStart w:id="231" w:name="_Toc2001605"/>
      <w:bookmarkEnd w:id="221"/>
      <w:bookmarkEnd w:id="226"/>
      <w:r w:rsidRPr="00FF0CB7">
        <w:rPr>
          <w:sz w:val="24"/>
          <w:szCs w:val="22"/>
        </w:rPr>
        <w:t>E</w:t>
      </w:r>
      <w:r w:rsidR="00C9452D" w:rsidRPr="00FF0CB7">
        <w:rPr>
          <w:sz w:val="24"/>
          <w:szCs w:val="22"/>
        </w:rPr>
        <w:tab/>
      </w:r>
      <w:r w:rsidR="00C8551F" w:rsidRPr="00FF0CB7">
        <w:rPr>
          <w:sz w:val="24"/>
          <w:szCs w:val="22"/>
        </w:rPr>
        <w:t xml:space="preserve">EU-reglering och </w:t>
      </w:r>
      <w:bookmarkEnd w:id="227"/>
      <w:r w:rsidR="00C8551F" w:rsidRPr="00FF0CB7">
        <w:rPr>
          <w:sz w:val="24"/>
          <w:szCs w:val="22"/>
        </w:rPr>
        <w:t>internationell rapportering</w:t>
      </w:r>
      <w:bookmarkEnd w:id="228"/>
      <w:bookmarkEnd w:id="229"/>
      <w:bookmarkEnd w:id="230"/>
      <w:bookmarkEnd w:id="231"/>
    </w:p>
    <w:p w14:paraId="5A62EA82" w14:textId="5291C40E" w:rsidR="00286356" w:rsidRPr="0098546D" w:rsidRDefault="0098546D" w:rsidP="0098546D">
      <w:r>
        <w:t xml:space="preserve">EU-reglering finns enligt förordning (EG) nr </w:t>
      </w:r>
      <w:r>
        <w:rPr>
          <w:rFonts w:cs="TimesNewRomanPSMT-Identity-H"/>
        </w:rPr>
        <w:t>1217/2009</w:t>
      </w:r>
      <w:r w:rsidR="00037975">
        <w:rPr>
          <w:rFonts w:cs="TimesNewRomanPSMT-Identity-H"/>
        </w:rPr>
        <w:t xml:space="preserve"> samt förordningar (EC) 1198/2014 och (EC) nr 220/2015</w:t>
      </w:r>
      <w:r w:rsidR="0092218E">
        <w:rPr>
          <w:rFonts w:cs="TimesNewRomanPSMT-Identity-H"/>
        </w:rPr>
        <w:t xml:space="preserve">. </w:t>
      </w:r>
      <w:r w:rsidR="000F4CD4">
        <w:rPr>
          <w:rFonts w:cs="TimesNewRomanPSMT-Identity-H"/>
        </w:rPr>
        <w:t>Avidentifierade m</w:t>
      </w:r>
      <w:r>
        <w:t>ikro</w:t>
      </w:r>
      <w:r w:rsidR="000F4CD4">
        <w:softHyphen/>
      </w:r>
      <w:r>
        <w:t>data</w:t>
      </w:r>
      <w:r w:rsidRPr="00227272">
        <w:t xml:space="preserve"> </w:t>
      </w:r>
      <w:r>
        <w:t>rapporteras till och används av</w:t>
      </w:r>
      <w:r w:rsidRPr="00227272">
        <w:t xml:space="preserve"> </w:t>
      </w:r>
      <w:r>
        <w:t xml:space="preserve">EU-kommissionens </w:t>
      </w:r>
      <w:r w:rsidR="00BD485D">
        <w:t>generaldirektorat</w:t>
      </w:r>
      <w:r w:rsidR="003C0C07">
        <w:t xml:space="preserve"> för jordbruk och landsbygdsutveckling, D</w:t>
      </w:r>
      <w:r>
        <w:t>G</w:t>
      </w:r>
      <w:r w:rsidR="00BD485D">
        <w:t xml:space="preserve"> AGRI</w:t>
      </w:r>
      <w:r w:rsidR="0092218E">
        <w:t xml:space="preserve"> (DG </w:t>
      </w:r>
      <w:proofErr w:type="spellStart"/>
      <w:r w:rsidR="0092218E">
        <w:t>Agriculture</w:t>
      </w:r>
      <w:proofErr w:type="spellEnd"/>
      <w:r w:rsidR="0092218E">
        <w:t xml:space="preserve"> and Rural </w:t>
      </w:r>
      <w:proofErr w:type="spellStart"/>
      <w:r w:rsidR="0092218E">
        <w:t>Development</w:t>
      </w:r>
      <w:proofErr w:type="spellEnd"/>
      <w:r w:rsidR="0092218E">
        <w:t>)</w:t>
      </w:r>
      <w:r w:rsidRPr="00227272">
        <w:t>.</w:t>
      </w:r>
      <w:r>
        <w:t xml:space="preserve"> Rapportering av FADN-data sker till EU-kommissionen en gång per år.</w:t>
      </w:r>
    </w:p>
    <w:p w14:paraId="1FCB689A" w14:textId="77777777" w:rsidR="002534EC" w:rsidRPr="00FF0CB7" w:rsidRDefault="0081247B" w:rsidP="0077704B">
      <w:pPr>
        <w:pStyle w:val="Rubrik1"/>
        <w:ind w:left="680" w:hanging="680"/>
        <w:rPr>
          <w:sz w:val="24"/>
          <w:szCs w:val="22"/>
        </w:rPr>
      </w:pPr>
      <w:bookmarkStart w:id="232" w:name="_Toc467250893"/>
      <w:bookmarkStart w:id="233" w:name="_Toc467251725"/>
      <w:bookmarkStart w:id="234" w:name="_Toc467482261"/>
      <w:bookmarkStart w:id="235" w:name="_Toc2001606"/>
      <w:r w:rsidRPr="00FF0CB7">
        <w:rPr>
          <w:sz w:val="24"/>
          <w:szCs w:val="22"/>
        </w:rPr>
        <w:t>F</w:t>
      </w:r>
      <w:r w:rsidR="002534EC" w:rsidRPr="00FF0CB7">
        <w:rPr>
          <w:sz w:val="24"/>
          <w:szCs w:val="22"/>
        </w:rPr>
        <w:tab/>
        <w:t>Historik</w:t>
      </w:r>
      <w:bookmarkEnd w:id="232"/>
      <w:bookmarkEnd w:id="233"/>
      <w:bookmarkEnd w:id="234"/>
      <w:bookmarkEnd w:id="235"/>
    </w:p>
    <w:p w14:paraId="02EC8B5C" w14:textId="6B5D3E2A" w:rsidR="0000716F" w:rsidRPr="00401065" w:rsidRDefault="005950BF" w:rsidP="00401065">
      <w:pPr>
        <w:tabs>
          <w:tab w:val="left" w:pos="851"/>
        </w:tabs>
        <w:overflowPunct w:val="0"/>
        <w:autoSpaceDE w:val="0"/>
        <w:autoSpaceDN w:val="0"/>
        <w:adjustRightInd w:val="0"/>
        <w:spacing w:line="240" w:lineRule="auto"/>
        <w:textAlignment w:val="baseline"/>
      </w:pPr>
      <w:r w:rsidRPr="00A53D2B">
        <w:t xml:space="preserve">För att belysa den ekonomiska utvecklingen för grupper av jordbruksföretag har bokföringsundersökningar genomförts i Sverige </w:t>
      </w:r>
      <w:r w:rsidR="000F4CD4">
        <w:t>sedan 1914.</w:t>
      </w:r>
      <w:r>
        <w:t xml:space="preserve"> År 1976 övertog SCB denna undersökning från dåvarande Lantbruksstyrelsen</w:t>
      </w:r>
      <w:r w:rsidR="007334D3">
        <w:t>.</w:t>
      </w:r>
      <w:r w:rsidR="00F46E57">
        <w:t xml:space="preserve"> </w:t>
      </w:r>
      <w:r w:rsidR="007334D3">
        <w:t>S</w:t>
      </w:r>
      <w:r w:rsidR="00F46E57">
        <w:t>edan 1993</w:t>
      </w:r>
      <w:r>
        <w:t xml:space="preserve"> på uppdrag av Jordbruksverket.</w:t>
      </w:r>
      <w:r w:rsidR="003C0C07">
        <w:t xml:space="preserve"> Se vidare avsnitt 5.1 ovan.</w:t>
      </w:r>
    </w:p>
    <w:p w14:paraId="02CF40A4" w14:textId="77777777" w:rsidR="001634E3" w:rsidRPr="00FF0CB7" w:rsidRDefault="0081247B" w:rsidP="0077704B">
      <w:pPr>
        <w:pStyle w:val="Rubrik1"/>
        <w:ind w:left="680" w:hanging="680"/>
        <w:rPr>
          <w:sz w:val="24"/>
          <w:szCs w:val="22"/>
        </w:rPr>
      </w:pPr>
      <w:bookmarkStart w:id="236" w:name="_Toc467250894"/>
      <w:bookmarkStart w:id="237" w:name="_Toc467251726"/>
      <w:bookmarkStart w:id="238" w:name="_Toc467482262"/>
      <w:bookmarkStart w:id="239" w:name="_Toc2001607"/>
      <w:r w:rsidRPr="00FF0CB7">
        <w:rPr>
          <w:sz w:val="24"/>
          <w:szCs w:val="22"/>
        </w:rPr>
        <w:t>G</w:t>
      </w:r>
      <w:r w:rsidR="00C9452D" w:rsidRPr="00FF0CB7">
        <w:rPr>
          <w:sz w:val="24"/>
          <w:szCs w:val="22"/>
        </w:rPr>
        <w:tab/>
      </w:r>
      <w:r w:rsidR="001634E3" w:rsidRPr="00FF0CB7">
        <w:rPr>
          <w:sz w:val="24"/>
          <w:szCs w:val="22"/>
        </w:rPr>
        <w:t>Kontaktuppgifter</w:t>
      </w:r>
      <w:bookmarkEnd w:id="236"/>
      <w:bookmarkEnd w:id="237"/>
      <w:bookmarkEnd w:id="238"/>
      <w:bookmarkEnd w:id="239"/>
      <w:r w:rsidR="001634E3" w:rsidRPr="00FF0CB7">
        <w:rPr>
          <w:sz w:val="24"/>
          <w:szCs w:val="22"/>
        </w:rPr>
        <w:t xml:space="preserve"> </w:t>
      </w:r>
    </w:p>
    <w:p w14:paraId="63EF8661" w14:textId="77777777" w:rsidR="009053FB" w:rsidRPr="003D42DA" w:rsidRDefault="009053FB" w:rsidP="00A21E99">
      <w:pPr>
        <w:overflowPunct w:val="0"/>
        <w:autoSpaceDE w:val="0"/>
        <w:autoSpaceDN w:val="0"/>
        <w:adjustRightInd w:val="0"/>
        <w:spacing w:line="240" w:lineRule="auto"/>
        <w:textAlignment w:val="baseline"/>
        <w:rPr>
          <w:rFonts w:eastAsia="Times New Roman" w:cs="Times New Roman"/>
          <w:color w:val="000000" w:themeColor="text1"/>
          <w:sz w:val="20"/>
          <w:szCs w:val="20"/>
          <w:lang w:eastAsia="sv-SE"/>
        </w:rPr>
      </w:pPr>
    </w:p>
    <w:tbl>
      <w:tblPr>
        <w:tblStyle w:val="Tabellrutnt"/>
        <w:tblW w:w="0" w:type="auto"/>
        <w:tblLook w:val="04A0" w:firstRow="1" w:lastRow="0" w:firstColumn="1" w:lastColumn="0" w:noHBand="0" w:noVBand="1"/>
      </w:tblPr>
      <w:tblGrid>
        <w:gridCol w:w="2093"/>
        <w:gridCol w:w="4925"/>
      </w:tblGrid>
      <w:tr w:rsidR="001634E3" w:rsidRPr="00EB759A" w14:paraId="49AB756C" w14:textId="77777777" w:rsidTr="008846EB">
        <w:trPr>
          <w:trHeight w:hRule="exact" w:val="680"/>
        </w:trPr>
        <w:tc>
          <w:tcPr>
            <w:tcW w:w="2093" w:type="dxa"/>
            <w:tcBorders>
              <w:bottom w:val="double" w:sz="4" w:space="0" w:color="auto"/>
            </w:tcBorders>
            <w:vAlign w:val="center"/>
          </w:tcPr>
          <w:p w14:paraId="770316EC" w14:textId="77777777" w:rsidR="00D62BD4" w:rsidRPr="00711C8E" w:rsidRDefault="00C74743" w:rsidP="00711C8E">
            <w:pPr>
              <w:spacing w:before="60" w:after="60" w:line="240" w:lineRule="auto"/>
              <w:rPr>
                <w:rFonts w:ascii="Arial" w:hAnsi="Arial" w:cs="Arial"/>
                <w:b/>
                <w:iCs/>
                <w:sz w:val="20"/>
                <w:szCs w:val="20"/>
              </w:rPr>
            </w:pPr>
            <w:r w:rsidRPr="00711C8E">
              <w:rPr>
                <w:rFonts w:ascii="Arial" w:hAnsi="Arial" w:cs="Arial"/>
                <w:b/>
                <w:iCs/>
                <w:sz w:val="20"/>
                <w:szCs w:val="20"/>
              </w:rPr>
              <w:t>Statistikansvarig</w:t>
            </w:r>
            <w:r w:rsidR="00E43395" w:rsidRPr="00711C8E">
              <w:rPr>
                <w:rFonts w:ascii="Arial" w:hAnsi="Arial" w:cs="Arial"/>
                <w:b/>
                <w:iCs/>
                <w:sz w:val="20"/>
                <w:szCs w:val="20"/>
              </w:rPr>
              <w:t xml:space="preserve"> </w:t>
            </w:r>
            <w:r w:rsidR="00D62BD4" w:rsidRPr="00711C8E">
              <w:rPr>
                <w:rFonts w:ascii="Arial" w:hAnsi="Arial" w:cs="Arial"/>
                <w:b/>
                <w:iCs/>
                <w:sz w:val="20"/>
                <w:szCs w:val="20"/>
              </w:rPr>
              <w:t>myndighet</w:t>
            </w:r>
          </w:p>
        </w:tc>
        <w:tc>
          <w:tcPr>
            <w:tcW w:w="4925" w:type="dxa"/>
            <w:tcBorders>
              <w:bottom w:val="double" w:sz="4" w:space="0" w:color="auto"/>
            </w:tcBorders>
          </w:tcPr>
          <w:p w14:paraId="4C934ADA" w14:textId="7E015549" w:rsidR="001634E3" w:rsidRPr="009A6D15" w:rsidRDefault="005950BF" w:rsidP="00212824">
            <w:pPr>
              <w:spacing w:before="240" w:line="276" w:lineRule="auto"/>
              <w:rPr>
                <w:iCs/>
              </w:rPr>
            </w:pPr>
            <w:r>
              <w:rPr>
                <w:iCs/>
              </w:rPr>
              <w:t>Jordbruksverket</w:t>
            </w:r>
            <w:r w:rsidR="0098546D">
              <w:rPr>
                <w:iCs/>
              </w:rPr>
              <w:t xml:space="preserve">, </w:t>
            </w:r>
            <w:r w:rsidR="00BD485D">
              <w:rPr>
                <w:iCs/>
              </w:rPr>
              <w:t>S</w:t>
            </w:r>
            <w:r w:rsidR="0098546D">
              <w:rPr>
                <w:iCs/>
              </w:rPr>
              <w:t>tatistikenheten</w:t>
            </w:r>
          </w:p>
        </w:tc>
      </w:tr>
      <w:tr w:rsidR="001634E3" w:rsidRPr="00EB759A" w14:paraId="00AC6DB6" w14:textId="77777777" w:rsidTr="008846EB">
        <w:trPr>
          <w:trHeight w:hRule="exact" w:val="680"/>
        </w:trPr>
        <w:tc>
          <w:tcPr>
            <w:tcW w:w="2093" w:type="dxa"/>
            <w:tcBorders>
              <w:top w:val="double" w:sz="4" w:space="0" w:color="auto"/>
            </w:tcBorders>
            <w:vAlign w:val="center"/>
          </w:tcPr>
          <w:p w14:paraId="51C47D1C" w14:textId="77777777" w:rsidR="007A4829" w:rsidRPr="00711C8E" w:rsidRDefault="007B5B0B" w:rsidP="008846EB">
            <w:pPr>
              <w:spacing w:before="60" w:after="60" w:line="240" w:lineRule="auto"/>
              <w:rPr>
                <w:rFonts w:ascii="Arial" w:hAnsi="Arial" w:cs="Arial"/>
                <w:b/>
                <w:iCs/>
                <w:sz w:val="20"/>
                <w:szCs w:val="20"/>
              </w:rPr>
            </w:pPr>
            <w:r w:rsidRPr="00711C8E">
              <w:rPr>
                <w:rFonts w:ascii="Arial" w:hAnsi="Arial" w:cs="Arial"/>
                <w:b/>
                <w:iCs/>
                <w:sz w:val="20"/>
                <w:szCs w:val="20"/>
              </w:rPr>
              <w:t>Kontakt</w:t>
            </w:r>
            <w:r w:rsidR="00501D98" w:rsidRPr="00711C8E">
              <w:rPr>
                <w:rFonts w:ascii="Arial" w:hAnsi="Arial" w:cs="Arial"/>
                <w:b/>
                <w:iCs/>
                <w:sz w:val="20"/>
                <w:szCs w:val="20"/>
              </w:rPr>
              <w:t>information</w:t>
            </w:r>
          </w:p>
        </w:tc>
        <w:tc>
          <w:tcPr>
            <w:tcW w:w="4925" w:type="dxa"/>
            <w:tcBorders>
              <w:top w:val="double" w:sz="4" w:space="0" w:color="auto"/>
            </w:tcBorders>
            <w:vAlign w:val="center"/>
          </w:tcPr>
          <w:p w14:paraId="7A0082F2" w14:textId="77777777" w:rsidR="001634E3" w:rsidRPr="009A6D15" w:rsidRDefault="005950BF" w:rsidP="007B5B0B">
            <w:pPr>
              <w:spacing w:after="0" w:line="276" w:lineRule="auto"/>
              <w:rPr>
                <w:iCs/>
              </w:rPr>
            </w:pPr>
            <w:r>
              <w:rPr>
                <w:iCs/>
              </w:rPr>
              <w:t>Ann-Marie Karlsson</w:t>
            </w:r>
          </w:p>
        </w:tc>
      </w:tr>
      <w:tr w:rsidR="001634E3" w:rsidRPr="00EB759A" w14:paraId="24849152" w14:textId="77777777" w:rsidTr="008846EB">
        <w:trPr>
          <w:trHeight w:hRule="exact" w:val="680"/>
        </w:trPr>
        <w:tc>
          <w:tcPr>
            <w:tcW w:w="2093" w:type="dxa"/>
            <w:vAlign w:val="center"/>
          </w:tcPr>
          <w:p w14:paraId="71F992E4" w14:textId="77777777" w:rsidR="001634E3" w:rsidRPr="00711C8E" w:rsidRDefault="007B5B0B" w:rsidP="008846EB">
            <w:pPr>
              <w:spacing w:before="60" w:after="60" w:line="276" w:lineRule="auto"/>
              <w:rPr>
                <w:rFonts w:ascii="Arial" w:hAnsi="Arial" w:cs="Arial"/>
                <w:b/>
                <w:iCs/>
                <w:sz w:val="20"/>
                <w:szCs w:val="20"/>
              </w:rPr>
            </w:pPr>
            <w:r w:rsidRPr="00711C8E">
              <w:rPr>
                <w:rFonts w:ascii="Arial" w:hAnsi="Arial" w:cs="Arial"/>
                <w:b/>
                <w:iCs/>
                <w:sz w:val="20"/>
                <w:szCs w:val="20"/>
              </w:rPr>
              <w:t>E-post</w:t>
            </w:r>
          </w:p>
        </w:tc>
        <w:tc>
          <w:tcPr>
            <w:tcW w:w="4925" w:type="dxa"/>
            <w:vAlign w:val="center"/>
          </w:tcPr>
          <w:p w14:paraId="0E852261" w14:textId="77777777" w:rsidR="005950BF" w:rsidRPr="009A6D15" w:rsidRDefault="0086368F" w:rsidP="005950BF">
            <w:pPr>
              <w:spacing w:line="276" w:lineRule="auto"/>
              <w:rPr>
                <w:iCs/>
              </w:rPr>
            </w:pPr>
            <w:hyperlink r:id="rId13" w:history="1">
              <w:r w:rsidR="005950BF" w:rsidRPr="000D42D9">
                <w:rPr>
                  <w:rStyle w:val="Hyperlnk"/>
                  <w:iCs/>
                </w:rPr>
                <w:t>ann-marie.karlsson@jordbruksverket.se</w:t>
              </w:r>
            </w:hyperlink>
          </w:p>
        </w:tc>
      </w:tr>
      <w:tr w:rsidR="001634E3" w:rsidRPr="00EB759A" w14:paraId="01E19694" w14:textId="77777777" w:rsidTr="008846EB">
        <w:trPr>
          <w:trHeight w:hRule="exact" w:val="680"/>
        </w:trPr>
        <w:tc>
          <w:tcPr>
            <w:tcW w:w="2093" w:type="dxa"/>
            <w:vAlign w:val="center"/>
          </w:tcPr>
          <w:p w14:paraId="0CC7C578" w14:textId="77777777" w:rsidR="001634E3" w:rsidRPr="00711C8E" w:rsidRDefault="007B5B0B" w:rsidP="008846EB">
            <w:pPr>
              <w:spacing w:before="60" w:after="60" w:line="276" w:lineRule="auto"/>
              <w:rPr>
                <w:rFonts w:ascii="Arial" w:hAnsi="Arial" w:cs="Arial"/>
                <w:b/>
                <w:iCs/>
                <w:sz w:val="20"/>
                <w:szCs w:val="20"/>
              </w:rPr>
            </w:pPr>
            <w:r w:rsidRPr="00711C8E">
              <w:rPr>
                <w:rFonts w:ascii="Arial" w:hAnsi="Arial" w:cs="Arial"/>
                <w:b/>
                <w:iCs/>
                <w:sz w:val="20"/>
                <w:szCs w:val="20"/>
                <w:lang w:val="de-DE"/>
              </w:rPr>
              <w:t>Telefon</w:t>
            </w:r>
          </w:p>
        </w:tc>
        <w:tc>
          <w:tcPr>
            <w:tcW w:w="4925" w:type="dxa"/>
            <w:vAlign w:val="center"/>
          </w:tcPr>
          <w:p w14:paraId="66EF356D" w14:textId="77777777" w:rsidR="001634E3" w:rsidRPr="009A6D15" w:rsidRDefault="005950BF" w:rsidP="004240C5">
            <w:pPr>
              <w:spacing w:line="276" w:lineRule="auto"/>
              <w:rPr>
                <w:iCs/>
              </w:rPr>
            </w:pPr>
            <w:r>
              <w:rPr>
                <w:iCs/>
              </w:rPr>
              <w:t>036-15 59 33</w:t>
            </w:r>
          </w:p>
        </w:tc>
      </w:tr>
    </w:tbl>
    <w:p w14:paraId="465A6888" w14:textId="77777777" w:rsidR="0098546D" w:rsidRDefault="0098546D" w:rsidP="0098546D">
      <w:pPr>
        <w:rPr>
          <w:lang w:eastAsia="sv-SE"/>
        </w:rPr>
      </w:pPr>
    </w:p>
    <w:tbl>
      <w:tblPr>
        <w:tblStyle w:val="Tabellrutnt"/>
        <w:tblW w:w="0" w:type="auto"/>
        <w:tblLook w:val="04A0" w:firstRow="1" w:lastRow="0" w:firstColumn="1" w:lastColumn="0" w:noHBand="0" w:noVBand="1"/>
      </w:tblPr>
      <w:tblGrid>
        <w:gridCol w:w="2093"/>
        <w:gridCol w:w="4925"/>
      </w:tblGrid>
      <w:tr w:rsidR="0098546D" w:rsidRPr="00EB759A" w14:paraId="54DCD940" w14:textId="77777777" w:rsidTr="008A0A42">
        <w:trPr>
          <w:trHeight w:hRule="exact" w:val="844"/>
        </w:trPr>
        <w:tc>
          <w:tcPr>
            <w:tcW w:w="2093" w:type="dxa"/>
            <w:tcBorders>
              <w:bottom w:val="double" w:sz="4" w:space="0" w:color="auto"/>
            </w:tcBorders>
            <w:vAlign w:val="center"/>
          </w:tcPr>
          <w:p w14:paraId="15690F2A" w14:textId="77777777" w:rsidR="0098546D" w:rsidRPr="00711C8E" w:rsidRDefault="0098546D" w:rsidP="00EA5924">
            <w:pPr>
              <w:spacing w:before="60" w:after="60" w:line="240" w:lineRule="auto"/>
              <w:rPr>
                <w:rFonts w:ascii="Arial" w:hAnsi="Arial" w:cs="Arial"/>
                <w:b/>
                <w:iCs/>
                <w:sz w:val="20"/>
                <w:szCs w:val="20"/>
              </w:rPr>
            </w:pPr>
            <w:r>
              <w:rPr>
                <w:rFonts w:ascii="Arial" w:hAnsi="Arial" w:cs="Arial"/>
                <w:b/>
                <w:iCs/>
                <w:sz w:val="20"/>
                <w:szCs w:val="20"/>
              </w:rPr>
              <w:t>Statistikproducent</w:t>
            </w:r>
          </w:p>
        </w:tc>
        <w:tc>
          <w:tcPr>
            <w:tcW w:w="4925" w:type="dxa"/>
            <w:tcBorders>
              <w:bottom w:val="double" w:sz="4" w:space="0" w:color="auto"/>
            </w:tcBorders>
            <w:vAlign w:val="center"/>
          </w:tcPr>
          <w:p w14:paraId="7A777BFF" w14:textId="4DB74848" w:rsidR="0098546D" w:rsidRPr="00053148" w:rsidRDefault="007334D3" w:rsidP="00E42B5E">
            <w:pPr>
              <w:tabs>
                <w:tab w:val="left" w:pos="851"/>
              </w:tabs>
            </w:pPr>
            <w:r>
              <w:t>Jordbruksverket, Statistikenheten</w:t>
            </w:r>
          </w:p>
        </w:tc>
      </w:tr>
      <w:tr w:rsidR="0098546D" w:rsidRPr="00EB759A" w14:paraId="5A7478A0" w14:textId="77777777" w:rsidTr="00EA5924">
        <w:trPr>
          <w:trHeight w:hRule="exact" w:val="680"/>
        </w:trPr>
        <w:tc>
          <w:tcPr>
            <w:tcW w:w="2093" w:type="dxa"/>
            <w:tcBorders>
              <w:top w:val="double" w:sz="4" w:space="0" w:color="auto"/>
            </w:tcBorders>
            <w:vAlign w:val="center"/>
          </w:tcPr>
          <w:p w14:paraId="37875094" w14:textId="77777777" w:rsidR="0098546D" w:rsidRPr="00711C8E" w:rsidRDefault="0098546D" w:rsidP="00EA5924">
            <w:pPr>
              <w:spacing w:before="60" w:after="60" w:line="240" w:lineRule="auto"/>
              <w:rPr>
                <w:rFonts w:ascii="Arial" w:hAnsi="Arial" w:cs="Arial"/>
                <w:b/>
                <w:iCs/>
                <w:sz w:val="20"/>
                <w:szCs w:val="20"/>
              </w:rPr>
            </w:pPr>
            <w:r w:rsidRPr="00711C8E">
              <w:rPr>
                <w:rFonts w:ascii="Arial" w:hAnsi="Arial" w:cs="Arial"/>
                <w:b/>
                <w:iCs/>
                <w:sz w:val="20"/>
                <w:szCs w:val="20"/>
              </w:rPr>
              <w:t>Kontaktinformation</w:t>
            </w:r>
          </w:p>
        </w:tc>
        <w:tc>
          <w:tcPr>
            <w:tcW w:w="4925" w:type="dxa"/>
            <w:tcBorders>
              <w:top w:val="double" w:sz="4" w:space="0" w:color="auto"/>
            </w:tcBorders>
            <w:vAlign w:val="center"/>
          </w:tcPr>
          <w:p w14:paraId="5D2B1FEC" w14:textId="05AF0422" w:rsidR="0098546D" w:rsidRPr="009A6D15" w:rsidRDefault="007334D3" w:rsidP="00EA5924">
            <w:pPr>
              <w:spacing w:after="0" w:line="276" w:lineRule="auto"/>
              <w:rPr>
                <w:iCs/>
              </w:rPr>
            </w:pPr>
            <w:r>
              <w:rPr>
                <w:iCs/>
              </w:rPr>
              <w:t>Daniel Persson</w:t>
            </w:r>
          </w:p>
        </w:tc>
      </w:tr>
      <w:tr w:rsidR="0098546D" w:rsidRPr="00EB759A" w14:paraId="2F9F5333" w14:textId="77777777" w:rsidTr="00EA5924">
        <w:trPr>
          <w:trHeight w:hRule="exact" w:val="680"/>
        </w:trPr>
        <w:tc>
          <w:tcPr>
            <w:tcW w:w="2093" w:type="dxa"/>
            <w:vAlign w:val="center"/>
          </w:tcPr>
          <w:p w14:paraId="41446E70" w14:textId="77777777" w:rsidR="0098546D" w:rsidRPr="00711C8E" w:rsidRDefault="0098546D" w:rsidP="00EA5924">
            <w:pPr>
              <w:spacing w:before="60" w:after="60" w:line="276" w:lineRule="auto"/>
              <w:rPr>
                <w:rFonts w:ascii="Arial" w:hAnsi="Arial" w:cs="Arial"/>
                <w:b/>
                <w:iCs/>
                <w:sz w:val="20"/>
                <w:szCs w:val="20"/>
              </w:rPr>
            </w:pPr>
            <w:r w:rsidRPr="00711C8E">
              <w:rPr>
                <w:rFonts w:ascii="Arial" w:hAnsi="Arial" w:cs="Arial"/>
                <w:b/>
                <w:iCs/>
                <w:sz w:val="20"/>
                <w:szCs w:val="20"/>
              </w:rPr>
              <w:t>E-post</w:t>
            </w:r>
          </w:p>
        </w:tc>
        <w:tc>
          <w:tcPr>
            <w:tcW w:w="4925" w:type="dxa"/>
            <w:vAlign w:val="center"/>
          </w:tcPr>
          <w:p w14:paraId="794D9022" w14:textId="2B13B183" w:rsidR="0098546D" w:rsidRPr="009A6D15" w:rsidRDefault="0086368F" w:rsidP="007334D3">
            <w:pPr>
              <w:spacing w:line="276" w:lineRule="auto"/>
              <w:rPr>
                <w:iCs/>
              </w:rPr>
            </w:pPr>
            <w:hyperlink r:id="rId14" w:history="1">
              <w:r w:rsidR="007334D3" w:rsidRPr="0047357B">
                <w:rPr>
                  <w:rStyle w:val="Hyperlnk"/>
                  <w:iCs/>
                </w:rPr>
                <w:t>daniel.persson@jordbruksverket.se</w:t>
              </w:r>
            </w:hyperlink>
          </w:p>
        </w:tc>
      </w:tr>
      <w:tr w:rsidR="0098546D" w:rsidRPr="00EB759A" w14:paraId="539AC05E" w14:textId="77777777" w:rsidTr="00EA5924">
        <w:trPr>
          <w:trHeight w:hRule="exact" w:val="680"/>
        </w:trPr>
        <w:tc>
          <w:tcPr>
            <w:tcW w:w="2093" w:type="dxa"/>
            <w:vAlign w:val="center"/>
          </w:tcPr>
          <w:p w14:paraId="0E47A645" w14:textId="77777777" w:rsidR="0098546D" w:rsidRPr="00711C8E" w:rsidRDefault="0098546D" w:rsidP="00EA5924">
            <w:pPr>
              <w:spacing w:before="60" w:after="60" w:line="276" w:lineRule="auto"/>
              <w:rPr>
                <w:rFonts w:ascii="Arial" w:hAnsi="Arial" w:cs="Arial"/>
                <w:b/>
                <w:iCs/>
                <w:sz w:val="20"/>
                <w:szCs w:val="20"/>
              </w:rPr>
            </w:pPr>
            <w:r w:rsidRPr="00711C8E">
              <w:rPr>
                <w:rFonts w:ascii="Arial" w:hAnsi="Arial" w:cs="Arial"/>
                <w:b/>
                <w:iCs/>
                <w:sz w:val="20"/>
                <w:szCs w:val="20"/>
                <w:lang w:val="de-DE"/>
              </w:rPr>
              <w:t>Telefon</w:t>
            </w:r>
          </w:p>
        </w:tc>
        <w:tc>
          <w:tcPr>
            <w:tcW w:w="4925" w:type="dxa"/>
            <w:vAlign w:val="center"/>
          </w:tcPr>
          <w:p w14:paraId="6DC25744" w14:textId="7912D526" w:rsidR="0098546D" w:rsidRPr="009A6D15" w:rsidRDefault="007334D3" w:rsidP="00EA5924">
            <w:pPr>
              <w:spacing w:line="276" w:lineRule="auto"/>
              <w:rPr>
                <w:iCs/>
              </w:rPr>
            </w:pPr>
            <w:r>
              <w:rPr>
                <w:iCs/>
              </w:rPr>
              <w:t>036-15 50 39</w:t>
            </w:r>
          </w:p>
        </w:tc>
      </w:tr>
    </w:tbl>
    <w:p w14:paraId="72D2A8F1" w14:textId="77777777" w:rsidR="0098546D" w:rsidRPr="008846EB" w:rsidRDefault="0098546D" w:rsidP="0098546D">
      <w:pPr>
        <w:rPr>
          <w:lang w:eastAsia="sv-SE"/>
        </w:rPr>
      </w:pPr>
      <w:bookmarkStart w:id="240" w:name="_GoBack"/>
      <w:bookmarkEnd w:id="240"/>
    </w:p>
    <w:p w14:paraId="16A81ABE" w14:textId="77777777" w:rsidR="0098546D" w:rsidRPr="008846EB" w:rsidRDefault="0098546D" w:rsidP="008846EB">
      <w:pPr>
        <w:rPr>
          <w:lang w:eastAsia="sv-SE"/>
        </w:rPr>
      </w:pPr>
    </w:p>
    <w:sectPr w:rsidR="0098546D" w:rsidRPr="008846EB" w:rsidSect="00913378">
      <w:headerReference w:type="default" r:id="rId15"/>
      <w:footerReference w:type="default" r:id="rId16"/>
      <w:headerReference w:type="first" r:id="rId17"/>
      <w:footerReference w:type="first" r:id="rId18"/>
      <w:type w:val="continuous"/>
      <w:pgSz w:w="11906" w:h="16838"/>
      <w:pgMar w:top="1418" w:right="1701" w:bottom="1134" w:left="2552"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035D0" w14:textId="77777777" w:rsidR="0086368F" w:rsidRDefault="0086368F" w:rsidP="0005368C">
      <w:r>
        <w:separator/>
      </w:r>
    </w:p>
  </w:endnote>
  <w:endnote w:type="continuationSeparator" w:id="0">
    <w:p w14:paraId="275BD13C" w14:textId="77777777" w:rsidR="0086368F" w:rsidRDefault="0086368F"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D6E2" w14:textId="77777777" w:rsidR="0086368F" w:rsidRPr="0074142D" w:rsidRDefault="0086368F" w:rsidP="00CE4874">
    <w:pPr>
      <w:pStyle w:val="Sidfot"/>
      <w:ind w:left="-192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179D" w14:textId="77777777" w:rsidR="0086368F" w:rsidRPr="000F3B13" w:rsidRDefault="0086368F" w:rsidP="004D34B4">
    <w:pPr>
      <w:pStyle w:val="Sidfot"/>
      <w:ind w:left="-192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3163" w14:textId="77777777" w:rsidR="0086368F" w:rsidRDefault="0086368F" w:rsidP="0005368C"/>
  </w:footnote>
  <w:footnote w:type="continuationSeparator" w:id="0">
    <w:p w14:paraId="0F666687" w14:textId="77777777" w:rsidR="0086368F" w:rsidRDefault="0086368F" w:rsidP="0005368C">
      <w:r>
        <w:continuationSeparator/>
      </w:r>
    </w:p>
  </w:footnote>
  <w:footnote w:type="continuationNotice" w:id="1">
    <w:p w14:paraId="228CDE19" w14:textId="77777777" w:rsidR="0086368F" w:rsidRDefault="00863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3402"/>
      <w:gridCol w:w="851"/>
      <w:gridCol w:w="1134"/>
    </w:tblGrid>
    <w:tr w:rsidR="0086368F" w14:paraId="76CCF892" w14:textId="77777777" w:rsidTr="00913378">
      <w:tc>
        <w:tcPr>
          <w:tcW w:w="5669" w:type="dxa"/>
          <w:vMerge w:val="restart"/>
        </w:tcPr>
        <w:p w14:paraId="4BA25E15" w14:textId="77777777" w:rsidR="0086368F" w:rsidRPr="00251DEF" w:rsidRDefault="0086368F" w:rsidP="00F4196C">
          <w:pPr>
            <w:rPr>
              <w:sz w:val="18"/>
              <w:szCs w:val="18"/>
            </w:rPr>
          </w:pPr>
          <w:r w:rsidRPr="00251DEF">
            <w:rPr>
              <w:sz w:val="18"/>
              <w:szCs w:val="18"/>
            </w:rPr>
            <w:t>Statistikansvarig myndighet</w:t>
          </w:r>
        </w:p>
        <w:p w14:paraId="2F002060" w14:textId="77777777" w:rsidR="0086368F" w:rsidRPr="005D744F" w:rsidRDefault="0086368F" w:rsidP="00251DEF">
          <w:r>
            <w:t>Jordbruksverket</w:t>
          </w:r>
        </w:p>
      </w:tc>
      <w:tc>
        <w:tcPr>
          <w:tcW w:w="3402" w:type="dxa"/>
        </w:tcPr>
        <w:p w14:paraId="32E6C710" w14:textId="12FEDCBE" w:rsidR="0086368F" w:rsidRPr="00251DEF" w:rsidRDefault="0086368F" w:rsidP="00251DEF">
          <w:pPr>
            <w:pStyle w:val="Sidhuvud"/>
            <w:spacing w:after="120"/>
            <w:rPr>
              <w:rFonts w:ascii="Arial" w:hAnsi="Arial" w:cs="Arial"/>
              <w:sz w:val="18"/>
              <w:szCs w:val="18"/>
            </w:rPr>
          </w:pPr>
          <w:r>
            <w:rPr>
              <w:sz w:val="18"/>
              <w:szCs w:val="18"/>
            </w:rPr>
            <w:t>Kvalitetsdeklaration version 1</w:t>
          </w:r>
        </w:p>
      </w:tc>
      <w:tc>
        <w:tcPr>
          <w:tcW w:w="851" w:type="dxa"/>
        </w:tcPr>
        <w:p w14:paraId="5A6F6F87" w14:textId="77777777" w:rsidR="0086368F" w:rsidRPr="005B2B5B" w:rsidRDefault="0086368F" w:rsidP="002F7EEC">
          <w:pPr>
            <w:pStyle w:val="Sidhuvud"/>
            <w:rPr>
              <w:rFonts w:ascii="Arial" w:hAnsi="Arial" w:cs="Arial"/>
              <w:sz w:val="14"/>
              <w:szCs w:val="14"/>
            </w:rPr>
          </w:pPr>
        </w:p>
      </w:tc>
      <w:tc>
        <w:tcPr>
          <w:tcW w:w="1134" w:type="dxa"/>
        </w:tcPr>
        <w:p w14:paraId="00166929" w14:textId="77777777" w:rsidR="0086368F" w:rsidRPr="00251DEF" w:rsidRDefault="0086368F" w:rsidP="002F7EEC">
          <w:pPr>
            <w:pStyle w:val="Sidhuvud"/>
            <w:rPr>
              <w:sz w:val="18"/>
              <w:szCs w:val="18"/>
            </w:rPr>
          </w:pPr>
          <w:r w:rsidRPr="00251DEF">
            <w:rPr>
              <w:rFonts w:ascii="Arial" w:hAnsi="Arial" w:cs="Arial"/>
              <w:sz w:val="18"/>
              <w:szCs w:val="18"/>
            </w:rPr>
            <w:t>Sida</w:t>
          </w:r>
        </w:p>
      </w:tc>
    </w:tr>
    <w:tr w:rsidR="0086368F" w14:paraId="7E0F353F" w14:textId="77777777" w:rsidTr="00913378">
      <w:tc>
        <w:tcPr>
          <w:tcW w:w="5669" w:type="dxa"/>
          <w:vMerge/>
        </w:tcPr>
        <w:p w14:paraId="3068FF77" w14:textId="77777777" w:rsidR="0086368F" w:rsidRDefault="0086368F" w:rsidP="002F7EEC">
          <w:pPr>
            <w:pStyle w:val="Sidhuvud"/>
          </w:pPr>
        </w:p>
      </w:tc>
      <w:tc>
        <w:tcPr>
          <w:tcW w:w="3402" w:type="dxa"/>
          <w:vAlign w:val="center"/>
        </w:tcPr>
        <w:p w14:paraId="471D343F" w14:textId="20A57C39" w:rsidR="0086368F" w:rsidRPr="005B2B5B" w:rsidRDefault="0086368F" w:rsidP="001D6473">
          <w:pPr>
            <w:spacing w:after="0" w:line="240" w:lineRule="auto"/>
          </w:pPr>
          <w:r>
            <w:t>2020-02-28</w:t>
          </w:r>
        </w:p>
      </w:tc>
      <w:tc>
        <w:tcPr>
          <w:tcW w:w="851" w:type="dxa"/>
        </w:tcPr>
        <w:p w14:paraId="466A41AF" w14:textId="77777777" w:rsidR="0086368F" w:rsidRPr="005B2B5B" w:rsidRDefault="0086368F" w:rsidP="00F4196C">
          <w:pPr>
            <w:spacing w:after="0"/>
          </w:pPr>
          <w:r w:rsidRPr="00D7233A">
            <w:rPr>
              <w:bCs/>
            </w:rPr>
            <w:t xml:space="preserve"> </w:t>
          </w:r>
        </w:p>
      </w:tc>
      <w:tc>
        <w:tcPr>
          <w:tcW w:w="1134" w:type="dxa"/>
        </w:tcPr>
        <w:p w14:paraId="7566A685" w14:textId="036E46E7" w:rsidR="0086368F" w:rsidRDefault="0086368F" w:rsidP="002F7EEC">
          <w:pPr>
            <w:pStyle w:val="Sidhuvud"/>
          </w:pPr>
          <w:r>
            <w:fldChar w:fldCharType="begin"/>
          </w:r>
          <w:r>
            <w:instrText>PAGE   \* MERGEFORMAT</w:instrText>
          </w:r>
          <w:r>
            <w:fldChar w:fldCharType="separate"/>
          </w:r>
          <w:r w:rsidR="008A0A42">
            <w:rPr>
              <w:noProof/>
            </w:rPr>
            <w:t>15</w:t>
          </w:r>
          <w:r>
            <w:fldChar w:fldCharType="end"/>
          </w:r>
          <w:r>
            <w:t xml:space="preserve"> (</w:t>
          </w:r>
          <w:r>
            <w:rPr>
              <w:noProof/>
            </w:rPr>
            <w:fldChar w:fldCharType="begin"/>
          </w:r>
          <w:r>
            <w:rPr>
              <w:noProof/>
            </w:rPr>
            <w:instrText xml:space="preserve"> NUMPAGES  \* Arabic  \* MERGEFORMAT </w:instrText>
          </w:r>
          <w:r>
            <w:rPr>
              <w:noProof/>
            </w:rPr>
            <w:fldChar w:fldCharType="separate"/>
          </w:r>
          <w:r w:rsidR="008A0A42">
            <w:rPr>
              <w:noProof/>
            </w:rPr>
            <w:t>15</w:t>
          </w:r>
          <w:r>
            <w:rPr>
              <w:noProof/>
            </w:rPr>
            <w:fldChar w:fldCharType="end"/>
          </w:r>
          <w:r>
            <w:t>)</w:t>
          </w:r>
        </w:p>
      </w:tc>
    </w:tr>
    <w:tr w:rsidR="0086368F" w14:paraId="070BE2BA" w14:textId="77777777" w:rsidTr="00913378">
      <w:trPr>
        <w:gridAfter w:val="3"/>
        <w:wAfter w:w="5330" w:type="dxa"/>
        <w:trHeight w:val="273"/>
      </w:trPr>
      <w:tc>
        <w:tcPr>
          <w:tcW w:w="5669" w:type="dxa"/>
          <w:vMerge/>
        </w:tcPr>
        <w:p w14:paraId="287AB8AF" w14:textId="77777777" w:rsidR="0086368F" w:rsidRDefault="0086368F" w:rsidP="002F7EEC">
          <w:pPr>
            <w:pStyle w:val="Sidhuvud"/>
          </w:pPr>
        </w:p>
      </w:tc>
    </w:tr>
    <w:tr w:rsidR="0086368F" w:rsidRPr="006B1232" w14:paraId="692BA9C8" w14:textId="77777777" w:rsidTr="00913378">
      <w:trPr>
        <w:gridAfter w:val="3"/>
        <w:wAfter w:w="5330" w:type="dxa"/>
        <w:trHeight w:val="273"/>
      </w:trPr>
      <w:tc>
        <w:tcPr>
          <w:tcW w:w="5669" w:type="dxa"/>
          <w:vMerge/>
        </w:tcPr>
        <w:p w14:paraId="6E05A22E" w14:textId="77777777" w:rsidR="0086368F" w:rsidRDefault="0086368F" w:rsidP="002F7EEC">
          <w:pPr>
            <w:pStyle w:val="Sidhuvud"/>
          </w:pPr>
        </w:p>
      </w:tc>
    </w:tr>
  </w:tbl>
  <w:p w14:paraId="4B1D4D39" w14:textId="77777777" w:rsidR="0086368F" w:rsidRPr="00E72EEA" w:rsidRDefault="0086368F" w:rsidP="00251DEF">
    <w:pPr>
      <w:pStyle w:val="Sidhuvud"/>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01"/>
      <w:gridCol w:w="3032"/>
      <w:gridCol w:w="1668"/>
      <w:gridCol w:w="998"/>
    </w:tblGrid>
    <w:tr w:rsidR="0086368F" w:rsidRPr="00731259" w14:paraId="17A124AB" w14:textId="77777777" w:rsidTr="00731259">
      <w:tc>
        <w:tcPr>
          <w:tcW w:w="4959" w:type="dxa"/>
        </w:tcPr>
        <w:p w14:paraId="4E16AF64" w14:textId="77777777" w:rsidR="0086368F" w:rsidRPr="00731259" w:rsidRDefault="0086368F" w:rsidP="00731259">
          <w:pPr>
            <w:pStyle w:val="Ingetavstnd"/>
            <w:rPr>
              <w:rFonts w:ascii="Arial" w:hAnsi="Arial" w:cs="Arial"/>
              <w:iCs/>
              <w:sz w:val="14"/>
              <w:szCs w:val="14"/>
            </w:rPr>
          </w:pPr>
          <w:r w:rsidRPr="00731259">
            <w:rPr>
              <w:rFonts w:ascii="Arial" w:hAnsi="Arial" w:cs="Arial"/>
              <w:iCs/>
              <w:sz w:val="14"/>
              <w:szCs w:val="14"/>
            </w:rPr>
            <w:t>Statistikansvarig myndighet</w:t>
          </w:r>
        </w:p>
      </w:tc>
      <w:tc>
        <w:tcPr>
          <w:tcW w:w="2837" w:type="dxa"/>
          <w:vAlign w:val="center"/>
        </w:tcPr>
        <w:p w14:paraId="57536472" w14:textId="77777777" w:rsidR="0086368F" w:rsidRDefault="0086368F" w:rsidP="00731259">
          <w:pPr>
            <w:spacing w:after="0"/>
            <w:rPr>
              <w:sz w:val="16"/>
              <w:szCs w:val="16"/>
            </w:rPr>
          </w:pPr>
          <w:r>
            <w:rPr>
              <w:sz w:val="16"/>
              <w:szCs w:val="16"/>
            </w:rPr>
            <w:t>Kvalitetsdeklaration version x</w:t>
          </w:r>
        </w:p>
      </w:tc>
      <w:tc>
        <w:tcPr>
          <w:tcW w:w="1561" w:type="dxa"/>
        </w:tcPr>
        <w:p w14:paraId="35415071" w14:textId="77777777" w:rsidR="0086368F" w:rsidRPr="005B2B5B" w:rsidRDefault="0086368F" w:rsidP="00731259">
          <w:pPr>
            <w:spacing w:after="0"/>
          </w:pPr>
        </w:p>
      </w:tc>
      <w:tc>
        <w:tcPr>
          <w:tcW w:w="934" w:type="dxa"/>
        </w:tcPr>
        <w:p w14:paraId="25B7CF87" w14:textId="77777777" w:rsidR="0086368F" w:rsidRPr="00731259" w:rsidRDefault="0086368F" w:rsidP="00731259">
          <w:pPr>
            <w:pStyle w:val="Sidhuvud"/>
            <w:rPr>
              <w:rFonts w:ascii="Arial" w:hAnsi="Arial" w:cs="Arial"/>
              <w:sz w:val="14"/>
              <w:szCs w:val="14"/>
            </w:rPr>
          </w:pPr>
          <w:r w:rsidRPr="00731259">
            <w:rPr>
              <w:rFonts w:ascii="Arial" w:hAnsi="Arial" w:cs="Arial"/>
              <w:sz w:val="14"/>
              <w:szCs w:val="14"/>
            </w:rPr>
            <w:t>Sida</w:t>
          </w:r>
        </w:p>
      </w:tc>
    </w:tr>
    <w:tr w:rsidR="0086368F" w14:paraId="0052A335" w14:textId="77777777" w:rsidTr="00731259">
      <w:tc>
        <w:tcPr>
          <w:tcW w:w="4959" w:type="dxa"/>
        </w:tcPr>
        <w:p w14:paraId="1C08778F" w14:textId="77777777" w:rsidR="0086368F" w:rsidRPr="005726C5" w:rsidRDefault="0086368F" w:rsidP="00731259">
          <w:pPr>
            <w:spacing w:after="0"/>
            <w:rPr>
              <w:iCs/>
            </w:rPr>
          </w:pPr>
          <w:r w:rsidRPr="005726C5">
            <w:rPr>
              <w:iCs/>
            </w:rPr>
            <w:t>&lt;Statistik</w:t>
          </w:r>
          <w:r>
            <w:rPr>
              <w:iCs/>
            </w:rPr>
            <w:t>ansvarig myndighet</w:t>
          </w:r>
          <w:r w:rsidRPr="005726C5">
            <w:rPr>
              <w:iCs/>
            </w:rPr>
            <w:t>&gt;</w:t>
          </w:r>
        </w:p>
      </w:tc>
      <w:tc>
        <w:tcPr>
          <w:tcW w:w="2837" w:type="dxa"/>
          <w:vAlign w:val="center"/>
        </w:tcPr>
        <w:p w14:paraId="0BDF6EB6" w14:textId="77777777" w:rsidR="0086368F" w:rsidRPr="00F219F2" w:rsidRDefault="0086368F" w:rsidP="004450F5">
          <w:pPr>
            <w:spacing w:after="0"/>
          </w:pPr>
          <w:r>
            <w:t>&lt;Datum för offentliggörande&gt;</w:t>
          </w:r>
        </w:p>
      </w:tc>
      <w:tc>
        <w:tcPr>
          <w:tcW w:w="1561" w:type="dxa"/>
        </w:tcPr>
        <w:p w14:paraId="15A6F3B8" w14:textId="77777777" w:rsidR="0086368F" w:rsidRPr="005B2B5B" w:rsidRDefault="0086368F" w:rsidP="00731259">
          <w:pPr>
            <w:spacing w:after="0"/>
          </w:pPr>
        </w:p>
      </w:tc>
      <w:tc>
        <w:tcPr>
          <w:tcW w:w="934" w:type="dxa"/>
        </w:tcPr>
        <w:p w14:paraId="40E084C7" w14:textId="56F11066" w:rsidR="0086368F" w:rsidRDefault="0086368F" w:rsidP="00731259">
          <w:pPr>
            <w:pStyle w:val="Sidhuvud"/>
          </w:pPr>
          <w:r>
            <w:fldChar w:fldCharType="begin"/>
          </w:r>
          <w:r>
            <w:instrText>PAGE   \* MERGEFORMAT</w:instrText>
          </w:r>
          <w:r>
            <w:fldChar w:fldCharType="separate"/>
          </w:r>
          <w:r>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14</w:t>
          </w:r>
          <w:r>
            <w:rPr>
              <w:noProof/>
            </w:rPr>
            <w:fldChar w:fldCharType="end"/>
          </w:r>
          <w:r>
            <w:t>)</w:t>
          </w:r>
        </w:p>
      </w:tc>
    </w:tr>
    <w:tr w:rsidR="0086368F" w:rsidRPr="005726C5" w14:paraId="1DBF4EA8" w14:textId="77777777" w:rsidTr="00731259">
      <w:tc>
        <w:tcPr>
          <w:tcW w:w="4959" w:type="dxa"/>
        </w:tcPr>
        <w:p w14:paraId="7D4BE4B8" w14:textId="77777777" w:rsidR="0086368F" w:rsidRPr="005726C5" w:rsidRDefault="0086368F" w:rsidP="00731259">
          <w:pPr>
            <w:spacing w:after="0"/>
            <w:rPr>
              <w:iCs/>
            </w:rPr>
          </w:pPr>
        </w:p>
      </w:tc>
      <w:tc>
        <w:tcPr>
          <w:tcW w:w="2837" w:type="dxa"/>
        </w:tcPr>
        <w:p w14:paraId="63925716" w14:textId="77777777" w:rsidR="0086368F" w:rsidRPr="005726C5" w:rsidRDefault="0086368F" w:rsidP="00731259">
          <w:pPr>
            <w:pStyle w:val="Ingetavstnd"/>
          </w:pPr>
        </w:p>
      </w:tc>
      <w:tc>
        <w:tcPr>
          <w:tcW w:w="1561" w:type="dxa"/>
        </w:tcPr>
        <w:p w14:paraId="0023D2F8" w14:textId="77777777" w:rsidR="0086368F" w:rsidRPr="005726C5" w:rsidRDefault="0086368F" w:rsidP="00731259">
          <w:pPr>
            <w:pStyle w:val="Ingetavstnd"/>
          </w:pPr>
        </w:p>
      </w:tc>
      <w:tc>
        <w:tcPr>
          <w:tcW w:w="934" w:type="dxa"/>
        </w:tcPr>
        <w:p w14:paraId="79611DC0" w14:textId="77777777" w:rsidR="0086368F" w:rsidRPr="005726C5" w:rsidRDefault="0086368F" w:rsidP="00731259">
          <w:pPr>
            <w:pStyle w:val="Ingetavstnd"/>
          </w:pPr>
        </w:p>
      </w:tc>
    </w:tr>
    <w:tr w:rsidR="0086368F" w:rsidRPr="005726C5" w14:paraId="60F48F7C" w14:textId="77777777" w:rsidTr="00731259">
      <w:trPr>
        <w:trHeight w:val="80"/>
      </w:trPr>
      <w:tc>
        <w:tcPr>
          <w:tcW w:w="4959" w:type="dxa"/>
        </w:tcPr>
        <w:p w14:paraId="4F39474A" w14:textId="77777777" w:rsidR="0086368F" w:rsidRPr="005726C5" w:rsidRDefault="0086368F" w:rsidP="00731259">
          <w:pPr>
            <w:spacing w:after="0"/>
            <w:rPr>
              <w:iCs/>
            </w:rPr>
          </w:pPr>
        </w:p>
      </w:tc>
      <w:tc>
        <w:tcPr>
          <w:tcW w:w="2837" w:type="dxa"/>
        </w:tcPr>
        <w:p w14:paraId="6370CDED" w14:textId="77777777" w:rsidR="0086368F" w:rsidRPr="005726C5" w:rsidRDefault="0086368F" w:rsidP="00731259">
          <w:pPr>
            <w:pStyle w:val="Ingetavstnd"/>
          </w:pPr>
        </w:p>
      </w:tc>
      <w:tc>
        <w:tcPr>
          <w:tcW w:w="1561" w:type="dxa"/>
        </w:tcPr>
        <w:p w14:paraId="7998FA73" w14:textId="77777777" w:rsidR="0086368F" w:rsidRPr="005726C5" w:rsidRDefault="0086368F" w:rsidP="00731259">
          <w:pPr>
            <w:pStyle w:val="Ingetavstnd"/>
          </w:pPr>
        </w:p>
      </w:tc>
      <w:tc>
        <w:tcPr>
          <w:tcW w:w="934" w:type="dxa"/>
        </w:tcPr>
        <w:p w14:paraId="7CCD098E" w14:textId="77777777" w:rsidR="0086368F" w:rsidRPr="005726C5" w:rsidRDefault="0086368F" w:rsidP="00731259">
          <w:pPr>
            <w:pStyle w:val="Ingetavstnd"/>
          </w:pPr>
        </w:p>
      </w:tc>
    </w:tr>
  </w:tbl>
  <w:p w14:paraId="21316E7A" w14:textId="77777777" w:rsidR="0086368F" w:rsidRDefault="0086368F"/>
  <w:p w14:paraId="0067FD6A" w14:textId="77777777" w:rsidR="0086368F" w:rsidRDefault="0086368F"/>
  <w:p w14:paraId="30717CBD" w14:textId="77777777" w:rsidR="0086368F" w:rsidRDefault="0086368F"/>
  <w:p w14:paraId="0CCB1F1A" w14:textId="77777777" w:rsidR="0086368F" w:rsidRPr="00E72EEA" w:rsidRDefault="0086368F" w:rsidP="00E72EEA">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36632A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D5330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543583"/>
    <w:multiLevelType w:val="multilevel"/>
    <w:tmpl w:val="6346F904"/>
    <w:lvl w:ilvl="0">
      <w:start w:val="1"/>
      <w:numFmt w:val="decimal"/>
      <w:lvlText w:val="%1"/>
      <w:lvlJc w:val="left"/>
      <w:pPr>
        <w:ind w:left="1308" w:hanging="1308"/>
      </w:pPr>
      <w:rPr>
        <w:rFonts w:hint="default"/>
      </w:rPr>
    </w:lvl>
    <w:lvl w:ilvl="1">
      <w:start w:val="1"/>
      <w:numFmt w:val="decimal"/>
      <w:lvlText w:val="%1.%2"/>
      <w:lvlJc w:val="left"/>
      <w:pPr>
        <w:ind w:left="1308" w:hanging="1308"/>
      </w:pPr>
      <w:rPr>
        <w:rFonts w:hint="default"/>
      </w:rPr>
    </w:lvl>
    <w:lvl w:ilvl="2">
      <w:start w:val="1"/>
      <w:numFmt w:val="decimal"/>
      <w:lvlText w:val="%1.%2.%3"/>
      <w:lvlJc w:val="left"/>
      <w:pPr>
        <w:ind w:left="1308" w:hanging="1308"/>
      </w:pPr>
      <w:rPr>
        <w:rFonts w:hint="default"/>
      </w:rPr>
    </w:lvl>
    <w:lvl w:ilvl="3">
      <w:start w:val="1"/>
      <w:numFmt w:val="decimal"/>
      <w:lvlText w:val="%1.%2.%3.%4"/>
      <w:lvlJc w:val="left"/>
      <w:pPr>
        <w:ind w:left="1308" w:hanging="1308"/>
      </w:pPr>
      <w:rPr>
        <w:rFonts w:hint="default"/>
      </w:rPr>
    </w:lvl>
    <w:lvl w:ilvl="4">
      <w:start w:val="1"/>
      <w:numFmt w:val="decimal"/>
      <w:lvlText w:val="%1.%2.%3.%4.%5"/>
      <w:lvlJc w:val="left"/>
      <w:pPr>
        <w:ind w:left="1308" w:hanging="1308"/>
      </w:pPr>
      <w:rPr>
        <w:rFonts w:hint="default"/>
      </w:rPr>
    </w:lvl>
    <w:lvl w:ilvl="5">
      <w:start w:val="1"/>
      <w:numFmt w:val="decimal"/>
      <w:lvlText w:val="%1.%2.%3.%4.%5.%6"/>
      <w:lvlJc w:val="left"/>
      <w:pPr>
        <w:ind w:left="1308" w:hanging="130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4C1BC1"/>
    <w:multiLevelType w:val="multilevel"/>
    <w:tmpl w:val="AB3A648C"/>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rawingGridHorizontalSpacing w:val="181"/>
  <w:drawingGridVerticalSpacing w:val="181"/>
  <w:characterSpacingControl w:val="doNotCompress"/>
  <w:hdrShapeDefaults>
    <o:shapedefaults v:ext="edit" spidmax="778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60"/>
    <w:rsid w:val="00002EEC"/>
    <w:rsid w:val="00002F2D"/>
    <w:rsid w:val="0000716F"/>
    <w:rsid w:val="00014324"/>
    <w:rsid w:val="00016F68"/>
    <w:rsid w:val="00020BE9"/>
    <w:rsid w:val="000232A7"/>
    <w:rsid w:val="00025BE1"/>
    <w:rsid w:val="00025C9C"/>
    <w:rsid w:val="000306E4"/>
    <w:rsid w:val="00033EEA"/>
    <w:rsid w:val="00034147"/>
    <w:rsid w:val="00036681"/>
    <w:rsid w:val="00036A51"/>
    <w:rsid w:val="00037975"/>
    <w:rsid w:val="00042449"/>
    <w:rsid w:val="00043101"/>
    <w:rsid w:val="000435C3"/>
    <w:rsid w:val="0004593F"/>
    <w:rsid w:val="000459FD"/>
    <w:rsid w:val="00051910"/>
    <w:rsid w:val="00051EF7"/>
    <w:rsid w:val="00051FFC"/>
    <w:rsid w:val="0005368C"/>
    <w:rsid w:val="0005552B"/>
    <w:rsid w:val="000578DB"/>
    <w:rsid w:val="00057EF8"/>
    <w:rsid w:val="000616D9"/>
    <w:rsid w:val="00061A74"/>
    <w:rsid w:val="00062659"/>
    <w:rsid w:val="00064D07"/>
    <w:rsid w:val="000650CB"/>
    <w:rsid w:val="000656D1"/>
    <w:rsid w:val="00066E12"/>
    <w:rsid w:val="00070CD7"/>
    <w:rsid w:val="00071A28"/>
    <w:rsid w:val="0007359B"/>
    <w:rsid w:val="00073A06"/>
    <w:rsid w:val="00073E0D"/>
    <w:rsid w:val="000777EE"/>
    <w:rsid w:val="00077FA6"/>
    <w:rsid w:val="00080CCB"/>
    <w:rsid w:val="00080E9D"/>
    <w:rsid w:val="0008182B"/>
    <w:rsid w:val="00082E61"/>
    <w:rsid w:val="000900BE"/>
    <w:rsid w:val="00092A3C"/>
    <w:rsid w:val="00093AD6"/>
    <w:rsid w:val="000A0B0C"/>
    <w:rsid w:val="000A2DF9"/>
    <w:rsid w:val="000A3B68"/>
    <w:rsid w:val="000A5661"/>
    <w:rsid w:val="000B07F0"/>
    <w:rsid w:val="000B3A4F"/>
    <w:rsid w:val="000B3D3F"/>
    <w:rsid w:val="000B5818"/>
    <w:rsid w:val="000C0085"/>
    <w:rsid w:val="000C08A6"/>
    <w:rsid w:val="000C1F32"/>
    <w:rsid w:val="000C354C"/>
    <w:rsid w:val="000C5C83"/>
    <w:rsid w:val="000C6234"/>
    <w:rsid w:val="000C7C58"/>
    <w:rsid w:val="000C7EC9"/>
    <w:rsid w:val="000D2282"/>
    <w:rsid w:val="000D7B94"/>
    <w:rsid w:val="000E021F"/>
    <w:rsid w:val="000E1189"/>
    <w:rsid w:val="000E5D78"/>
    <w:rsid w:val="000E5E99"/>
    <w:rsid w:val="000E6343"/>
    <w:rsid w:val="000F0420"/>
    <w:rsid w:val="000F079F"/>
    <w:rsid w:val="000F3B13"/>
    <w:rsid w:val="000F4CD4"/>
    <w:rsid w:val="000F4FA5"/>
    <w:rsid w:val="00101B68"/>
    <w:rsid w:val="0010201B"/>
    <w:rsid w:val="0010264E"/>
    <w:rsid w:val="00105112"/>
    <w:rsid w:val="00107A62"/>
    <w:rsid w:val="00112960"/>
    <w:rsid w:val="001148D3"/>
    <w:rsid w:val="00115644"/>
    <w:rsid w:val="0011576B"/>
    <w:rsid w:val="00117C69"/>
    <w:rsid w:val="0012058D"/>
    <w:rsid w:val="0012452B"/>
    <w:rsid w:val="00126D46"/>
    <w:rsid w:val="00126F4C"/>
    <w:rsid w:val="00126FBF"/>
    <w:rsid w:val="001302D2"/>
    <w:rsid w:val="00130769"/>
    <w:rsid w:val="00130DD7"/>
    <w:rsid w:val="001459A8"/>
    <w:rsid w:val="0014724D"/>
    <w:rsid w:val="001509E5"/>
    <w:rsid w:val="001514ED"/>
    <w:rsid w:val="00151DC1"/>
    <w:rsid w:val="00153753"/>
    <w:rsid w:val="001561B3"/>
    <w:rsid w:val="00160827"/>
    <w:rsid w:val="0016285E"/>
    <w:rsid w:val="001634E3"/>
    <w:rsid w:val="00166E2D"/>
    <w:rsid w:val="001675BB"/>
    <w:rsid w:val="00172028"/>
    <w:rsid w:val="00172CB6"/>
    <w:rsid w:val="00174E41"/>
    <w:rsid w:val="001766FD"/>
    <w:rsid w:val="001807F9"/>
    <w:rsid w:val="001818E7"/>
    <w:rsid w:val="00183F9B"/>
    <w:rsid w:val="001853DB"/>
    <w:rsid w:val="0018649C"/>
    <w:rsid w:val="001864E6"/>
    <w:rsid w:val="00190567"/>
    <w:rsid w:val="00190F99"/>
    <w:rsid w:val="0019210A"/>
    <w:rsid w:val="001947C6"/>
    <w:rsid w:val="00196656"/>
    <w:rsid w:val="001A4071"/>
    <w:rsid w:val="001A6D9F"/>
    <w:rsid w:val="001A7BBC"/>
    <w:rsid w:val="001B0D80"/>
    <w:rsid w:val="001B1B12"/>
    <w:rsid w:val="001B3653"/>
    <w:rsid w:val="001B5006"/>
    <w:rsid w:val="001C25F4"/>
    <w:rsid w:val="001C6253"/>
    <w:rsid w:val="001C6FC7"/>
    <w:rsid w:val="001D33A7"/>
    <w:rsid w:val="001D4DDE"/>
    <w:rsid w:val="001D6473"/>
    <w:rsid w:val="001D7B6A"/>
    <w:rsid w:val="001E3EDE"/>
    <w:rsid w:val="001E747D"/>
    <w:rsid w:val="001F39DF"/>
    <w:rsid w:val="001F499C"/>
    <w:rsid w:val="001F5168"/>
    <w:rsid w:val="001F5E0E"/>
    <w:rsid w:val="002040D6"/>
    <w:rsid w:val="00207A89"/>
    <w:rsid w:val="00211646"/>
    <w:rsid w:val="00211F58"/>
    <w:rsid w:val="00212824"/>
    <w:rsid w:val="002128EC"/>
    <w:rsid w:val="0021388B"/>
    <w:rsid w:val="00220185"/>
    <w:rsid w:val="00221719"/>
    <w:rsid w:val="00223125"/>
    <w:rsid w:val="00223155"/>
    <w:rsid w:val="00225A32"/>
    <w:rsid w:val="00226144"/>
    <w:rsid w:val="00226C35"/>
    <w:rsid w:val="00227BB7"/>
    <w:rsid w:val="0023148B"/>
    <w:rsid w:val="002329F7"/>
    <w:rsid w:val="002339B4"/>
    <w:rsid w:val="00237BDE"/>
    <w:rsid w:val="00242CC2"/>
    <w:rsid w:val="0025042B"/>
    <w:rsid w:val="00251DEF"/>
    <w:rsid w:val="00252E07"/>
    <w:rsid w:val="002534EC"/>
    <w:rsid w:val="00255EF9"/>
    <w:rsid w:val="002572CD"/>
    <w:rsid w:val="00257934"/>
    <w:rsid w:val="00264F36"/>
    <w:rsid w:val="00265A76"/>
    <w:rsid w:val="0026623A"/>
    <w:rsid w:val="00267A9D"/>
    <w:rsid w:val="0027033F"/>
    <w:rsid w:val="002704AB"/>
    <w:rsid w:val="0027121B"/>
    <w:rsid w:val="0027411E"/>
    <w:rsid w:val="00274E90"/>
    <w:rsid w:val="0027726F"/>
    <w:rsid w:val="002774F2"/>
    <w:rsid w:val="00284F32"/>
    <w:rsid w:val="00284FF2"/>
    <w:rsid w:val="00286356"/>
    <w:rsid w:val="002917F8"/>
    <w:rsid w:val="00293174"/>
    <w:rsid w:val="00294F93"/>
    <w:rsid w:val="00295CDB"/>
    <w:rsid w:val="00295D4E"/>
    <w:rsid w:val="00296674"/>
    <w:rsid w:val="00296C07"/>
    <w:rsid w:val="00296F27"/>
    <w:rsid w:val="002974AE"/>
    <w:rsid w:val="00297962"/>
    <w:rsid w:val="002A06A2"/>
    <w:rsid w:val="002A0B12"/>
    <w:rsid w:val="002A1A15"/>
    <w:rsid w:val="002A364B"/>
    <w:rsid w:val="002A5B5D"/>
    <w:rsid w:val="002B0ED0"/>
    <w:rsid w:val="002B13E9"/>
    <w:rsid w:val="002B27AF"/>
    <w:rsid w:val="002B2933"/>
    <w:rsid w:val="002B7AD4"/>
    <w:rsid w:val="002C1040"/>
    <w:rsid w:val="002C1494"/>
    <w:rsid w:val="002C1683"/>
    <w:rsid w:val="002C36DA"/>
    <w:rsid w:val="002C374B"/>
    <w:rsid w:val="002C40B1"/>
    <w:rsid w:val="002D1C99"/>
    <w:rsid w:val="002D492F"/>
    <w:rsid w:val="002D56B3"/>
    <w:rsid w:val="002D7622"/>
    <w:rsid w:val="002D7BA1"/>
    <w:rsid w:val="002E0BEF"/>
    <w:rsid w:val="002E10E7"/>
    <w:rsid w:val="002E1C5A"/>
    <w:rsid w:val="002E4D29"/>
    <w:rsid w:val="002E5797"/>
    <w:rsid w:val="002E7290"/>
    <w:rsid w:val="002F0013"/>
    <w:rsid w:val="002F7EEC"/>
    <w:rsid w:val="003002E6"/>
    <w:rsid w:val="00300671"/>
    <w:rsid w:val="00300DE0"/>
    <w:rsid w:val="00302206"/>
    <w:rsid w:val="00302F2F"/>
    <w:rsid w:val="00303871"/>
    <w:rsid w:val="00304163"/>
    <w:rsid w:val="003045D8"/>
    <w:rsid w:val="00306A66"/>
    <w:rsid w:val="00306F19"/>
    <w:rsid w:val="003104A0"/>
    <w:rsid w:val="003148B0"/>
    <w:rsid w:val="00315011"/>
    <w:rsid w:val="00315A34"/>
    <w:rsid w:val="00316904"/>
    <w:rsid w:val="00317B4C"/>
    <w:rsid w:val="00320B7D"/>
    <w:rsid w:val="003246D2"/>
    <w:rsid w:val="00325A74"/>
    <w:rsid w:val="0032674D"/>
    <w:rsid w:val="003270DE"/>
    <w:rsid w:val="003309D8"/>
    <w:rsid w:val="00332920"/>
    <w:rsid w:val="00333C48"/>
    <w:rsid w:val="00334144"/>
    <w:rsid w:val="0033513F"/>
    <w:rsid w:val="00336BD0"/>
    <w:rsid w:val="003423B4"/>
    <w:rsid w:val="00343E75"/>
    <w:rsid w:val="00346E1C"/>
    <w:rsid w:val="00354982"/>
    <w:rsid w:val="00354A96"/>
    <w:rsid w:val="00356CCD"/>
    <w:rsid w:val="00356D2F"/>
    <w:rsid w:val="00360EFE"/>
    <w:rsid w:val="003619E5"/>
    <w:rsid w:val="00364B58"/>
    <w:rsid w:val="003668F7"/>
    <w:rsid w:val="00370F33"/>
    <w:rsid w:val="0037313E"/>
    <w:rsid w:val="00374CE9"/>
    <w:rsid w:val="00376607"/>
    <w:rsid w:val="00377692"/>
    <w:rsid w:val="00380E7C"/>
    <w:rsid w:val="0038122B"/>
    <w:rsid w:val="00381933"/>
    <w:rsid w:val="00381BA3"/>
    <w:rsid w:val="00382383"/>
    <w:rsid w:val="003823DE"/>
    <w:rsid w:val="00387507"/>
    <w:rsid w:val="00387ED6"/>
    <w:rsid w:val="003900FB"/>
    <w:rsid w:val="003914F3"/>
    <w:rsid w:val="00393458"/>
    <w:rsid w:val="00397CEB"/>
    <w:rsid w:val="00397D14"/>
    <w:rsid w:val="003A6A97"/>
    <w:rsid w:val="003B2852"/>
    <w:rsid w:val="003B2FB8"/>
    <w:rsid w:val="003B402C"/>
    <w:rsid w:val="003B684B"/>
    <w:rsid w:val="003B6BE5"/>
    <w:rsid w:val="003C0C07"/>
    <w:rsid w:val="003C2A7A"/>
    <w:rsid w:val="003C32D6"/>
    <w:rsid w:val="003C472E"/>
    <w:rsid w:val="003C489B"/>
    <w:rsid w:val="003C6F47"/>
    <w:rsid w:val="003C79C6"/>
    <w:rsid w:val="003D0294"/>
    <w:rsid w:val="003D42A0"/>
    <w:rsid w:val="003D42DA"/>
    <w:rsid w:val="003D7E93"/>
    <w:rsid w:val="003E122A"/>
    <w:rsid w:val="003E2BDB"/>
    <w:rsid w:val="003E3349"/>
    <w:rsid w:val="003E3A2E"/>
    <w:rsid w:val="003F23C1"/>
    <w:rsid w:val="003F6409"/>
    <w:rsid w:val="00401065"/>
    <w:rsid w:val="004015D3"/>
    <w:rsid w:val="00401625"/>
    <w:rsid w:val="00401F87"/>
    <w:rsid w:val="00402CC3"/>
    <w:rsid w:val="0040460F"/>
    <w:rsid w:val="00406035"/>
    <w:rsid w:val="00411467"/>
    <w:rsid w:val="00411694"/>
    <w:rsid w:val="0041365A"/>
    <w:rsid w:val="0042139C"/>
    <w:rsid w:val="00422BF4"/>
    <w:rsid w:val="00423AF1"/>
    <w:rsid w:val="004240C5"/>
    <w:rsid w:val="0042692B"/>
    <w:rsid w:val="00426D48"/>
    <w:rsid w:val="0043377B"/>
    <w:rsid w:val="00433B57"/>
    <w:rsid w:val="004400D3"/>
    <w:rsid w:val="00443D03"/>
    <w:rsid w:val="004450F5"/>
    <w:rsid w:val="0045173A"/>
    <w:rsid w:val="0045285D"/>
    <w:rsid w:val="00454F14"/>
    <w:rsid w:val="004600F5"/>
    <w:rsid w:val="00461A01"/>
    <w:rsid w:val="00461A14"/>
    <w:rsid w:val="00461C0C"/>
    <w:rsid w:val="00464F2D"/>
    <w:rsid w:val="00466A78"/>
    <w:rsid w:val="00470B19"/>
    <w:rsid w:val="00471346"/>
    <w:rsid w:val="00471969"/>
    <w:rsid w:val="004724DB"/>
    <w:rsid w:val="004730BA"/>
    <w:rsid w:val="00474E25"/>
    <w:rsid w:val="004764FE"/>
    <w:rsid w:val="00477EB2"/>
    <w:rsid w:val="00481475"/>
    <w:rsid w:val="004821B7"/>
    <w:rsid w:val="00483AC0"/>
    <w:rsid w:val="00486001"/>
    <w:rsid w:val="00487582"/>
    <w:rsid w:val="00487B18"/>
    <w:rsid w:val="00487C23"/>
    <w:rsid w:val="004954DC"/>
    <w:rsid w:val="004A1770"/>
    <w:rsid w:val="004A2CEA"/>
    <w:rsid w:val="004A5039"/>
    <w:rsid w:val="004A595C"/>
    <w:rsid w:val="004B10F0"/>
    <w:rsid w:val="004B4718"/>
    <w:rsid w:val="004B4CA4"/>
    <w:rsid w:val="004B4CAD"/>
    <w:rsid w:val="004B5530"/>
    <w:rsid w:val="004B659D"/>
    <w:rsid w:val="004B7CCC"/>
    <w:rsid w:val="004C0AD7"/>
    <w:rsid w:val="004C215A"/>
    <w:rsid w:val="004C2607"/>
    <w:rsid w:val="004C4DC2"/>
    <w:rsid w:val="004C6F1B"/>
    <w:rsid w:val="004C7019"/>
    <w:rsid w:val="004D14D8"/>
    <w:rsid w:val="004D196C"/>
    <w:rsid w:val="004D241D"/>
    <w:rsid w:val="004D2839"/>
    <w:rsid w:val="004D34B4"/>
    <w:rsid w:val="004D3856"/>
    <w:rsid w:val="004D6145"/>
    <w:rsid w:val="004D6CAF"/>
    <w:rsid w:val="004E0049"/>
    <w:rsid w:val="004E266A"/>
    <w:rsid w:val="004E3FE7"/>
    <w:rsid w:val="004E59AE"/>
    <w:rsid w:val="004F027C"/>
    <w:rsid w:val="004F2525"/>
    <w:rsid w:val="004F3045"/>
    <w:rsid w:val="004F3CC3"/>
    <w:rsid w:val="004F4C7A"/>
    <w:rsid w:val="004F5C33"/>
    <w:rsid w:val="00501D98"/>
    <w:rsid w:val="0050236D"/>
    <w:rsid w:val="005028F7"/>
    <w:rsid w:val="0050313C"/>
    <w:rsid w:val="00503EA7"/>
    <w:rsid w:val="005076A6"/>
    <w:rsid w:val="0051142A"/>
    <w:rsid w:val="005121CE"/>
    <w:rsid w:val="005142AD"/>
    <w:rsid w:val="0051447F"/>
    <w:rsid w:val="005159DB"/>
    <w:rsid w:val="0051606B"/>
    <w:rsid w:val="005179E3"/>
    <w:rsid w:val="005219B2"/>
    <w:rsid w:val="00522737"/>
    <w:rsid w:val="00522D88"/>
    <w:rsid w:val="005252D2"/>
    <w:rsid w:val="005305F7"/>
    <w:rsid w:val="00530A5F"/>
    <w:rsid w:val="00532B29"/>
    <w:rsid w:val="00532E87"/>
    <w:rsid w:val="00534194"/>
    <w:rsid w:val="005344C3"/>
    <w:rsid w:val="0053711F"/>
    <w:rsid w:val="00537852"/>
    <w:rsid w:val="005378DA"/>
    <w:rsid w:val="005417B6"/>
    <w:rsid w:val="00541E7C"/>
    <w:rsid w:val="00541E94"/>
    <w:rsid w:val="005456F0"/>
    <w:rsid w:val="00545AF7"/>
    <w:rsid w:val="00545BCA"/>
    <w:rsid w:val="00546288"/>
    <w:rsid w:val="00547D93"/>
    <w:rsid w:val="00550B60"/>
    <w:rsid w:val="00552962"/>
    <w:rsid w:val="00560C69"/>
    <w:rsid w:val="00561468"/>
    <w:rsid w:val="00561CBB"/>
    <w:rsid w:val="00563BB4"/>
    <w:rsid w:val="0056476D"/>
    <w:rsid w:val="00570ACA"/>
    <w:rsid w:val="00570D37"/>
    <w:rsid w:val="005726C5"/>
    <w:rsid w:val="0057279D"/>
    <w:rsid w:val="005727E6"/>
    <w:rsid w:val="005748EC"/>
    <w:rsid w:val="00575E14"/>
    <w:rsid w:val="00577D00"/>
    <w:rsid w:val="00577FC6"/>
    <w:rsid w:val="00582C96"/>
    <w:rsid w:val="00585C80"/>
    <w:rsid w:val="0059452E"/>
    <w:rsid w:val="00594786"/>
    <w:rsid w:val="005950BF"/>
    <w:rsid w:val="005971FB"/>
    <w:rsid w:val="00597B5F"/>
    <w:rsid w:val="005A1019"/>
    <w:rsid w:val="005A3C47"/>
    <w:rsid w:val="005A484A"/>
    <w:rsid w:val="005A4AB5"/>
    <w:rsid w:val="005B1515"/>
    <w:rsid w:val="005B1C20"/>
    <w:rsid w:val="005B2B5B"/>
    <w:rsid w:val="005B34BF"/>
    <w:rsid w:val="005B48CE"/>
    <w:rsid w:val="005B69E0"/>
    <w:rsid w:val="005D142C"/>
    <w:rsid w:val="005D1A1B"/>
    <w:rsid w:val="005D3CCE"/>
    <w:rsid w:val="005D470A"/>
    <w:rsid w:val="005E0CA2"/>
    <w:rsid w:val="005E1879"/>
    <w:rsid w:val="005E38EA"/>
    <w:rsid w:val="005E6CB8"/>
    <w:rsid w:val="005E7F68"/>
    <w:rsid w:val="005F1415"/>
    <w:rsid w:val="005F456A"/>
    <w:rsid w:val="005F543C"/>
    <w:rsid w:val="005F7A81"/>
    <w:rsid w:val="006024C8"/>
    <w:rsid w:val="00602C3A"/>
    <w:rsid w:val="00603615"/>
    <w:rsid w:val="00604E34"/>
    <w:rsid w:val="0060549D"/>
    <w:rsid w:val="00611900"/>
    <w:rsid w:val="00612402"/>
    <w:rsid w:val="0061447A"/>
    <w:rsid w:val="006173AE"/>
    <w:rsid w:val="00617413"/>
    <w:rsid w:val="00622DE6"/>
    <w:rsid w:val="00624CE4"/>
    <w:rsid w:val="00626F38"/>
    <w:rsid w:val="00633A87"/>
    <w:rsid w:val="00640E5C"/>
    <w:rsid w:val="00646E71"/>
    <w:rsid w:val="00653344"/>
    <w:rsid w:val="00657C05"/>
    <w:rsid w:val="006600CB"/>
    <w:rsid w:val="00660434"/>
    <w:rsid w:val="00662085"/>
    <w:rsid w:val="00667E40"/>
    <w:rsid w:val="006722BB"/>
    <w:rsid w:val="00676A09"/>
    <w:rsid w:val="0067734D"/>
    <w:rsid w:val="006811C0"/>
    <w:rsid w:val="00682341"/>
    <w:rsid w:val="006846C7"/>
    <w:rsid w:val="00686C96"/>
    <w:rsid w:val="00690C68"/>
    <w:rsid w:val="00694129"/>
    <w:rsid w:val="00694A3D"/>
    <w:rsid w:val="0069790D"/>
    <w:rsid w:val="006A2FAC"/>
    <w:rsid w:val="006A626F"/>
    <w:rsid w:val="006A78B3"/>
    <w:rsid w:val="006B0647"/>
    <w:rsid w:val="006B0DEF"/>
    <w:rsid w:val="006B1232"/>
    <w:rsid w:val="006B1843"/>
    <w:rsid w:val="006B1A7B"/>
    <w:rsid w:val="006B2EB1"/>
    <w:rsid w:val="006B377B"/>
    <w:rsid w:val="006B5927"/>
    <w:rsid w:val="006B5E00"/>
    <w:rsid w:val="006B5FDE"/>
    <w:rsid w:val="006B6B25"/>
    <w:rsid w:val="006C3971"/>
    <w:rsid w:val="006D0B7F"/>
    <w:rsid w:val="006D1E7D"/>
    <w:rsid w:val="006D73ED"/>
    <w:rsid w:val="006E026B"/>
    <w:rsid w:val="006E07E0"/>
    <w:rsid w:val="006E18C9"/>
    <w:rsid w:val="006E61A1"/>
    <w:rsid w:val="006E717E"/>
    <w:rsid w:val="006F169E"/>
    <w:rsid w:val="006F3F63"/>
    <w:rsid w:val="006F6376"/>
    <w:rsid w:val="006F74B8"/>
    <w:rsid w:val="006F7EF4"/>
    <w:rsid w:val="00701199"/>
    <w:rsid w:val="0070576E"/>
    <w:rsid w:val="00705EFF"/>
    <w:rsid w:val="00711C8E"/>
    <w:rsid w:val="00713B61"/>
    <w:rsid w:val="00713DCA"/>
    <w:rsid w:val="0071701A"/>
    <w:rsid w:val="007173B2"/>
    <w:rsid w:val="00717CA5"/>
    <w:rsid w:val="007234BE"/>
    <w:rsid w:val="00723D60"/>
    <w:rsid w:val="00723EAF"/>
    <w:rsid w:val="00725781"/>
    <w:rsid w:val="00731259"/>
    <w:rsid w:val="00732299"/>
    <w:rsid w:val="00732841"/>
    <w:rsid w:val="00733427"/>
    <w:rsid w:val="007334D3"/>
    <w:rsid w:val="00735FEB"/>
    <w:rsid w:val="00737A40"/>
    <w:rsid w:val="00740310"/>
    <w:rsid w:val="0074142D"/>
    <w:rsid w:val="007471E7"/>
    <w:rsid w:val="007514BB"/>
    <w:rsid w:val="00753512"/>
    <w:rsid w:val="00757609"/>
    <w:rsid w:val="00757FA0"/>
    <w:rsid w:val="007616D7"/>
    <w:rsid w:val="00761CD1"/>
    <w:rsid w:val="00765AD6"/>
    <w:rsid w:val="00773F48"/>
    <w:rsid w:val="0077594D"/>
    <w:rsid w:val="0077704B"/>
    <w:rsid w:val="00777190"/>
    <w:rsid w:val="007913AF"/>
    <w:rsid w:val="00791D0A"/>
    <w:rsid w:val="00792100"/>
    <w:rsid w:val="00792739"/>
    <w:rsid w:val="00794AB2"/>
    <w:rsid w:val="00795FF9"/>
    <w:rsid w:val="00796421"/>
    <w:rsid w:val="007964A4"/>
    <w:rsid w:val="0079761E"/>
    <w:rsid w:val="007A359C"/>
    <w:rsid w:val="007A4829"/>
    <w:rsid w:val="007A4B33"/>
    <w:rsid w:val="007A5241"/>
    <w:rsid w:val="007A7478"/>
    <w:rsid w:val="007A7885"/>
    <w:rsid w:val="007B2644"/>
    <w:rsid w:val="007B2A34"/>
    <w:rsid w:val="007B5482"/>
    <w:rsid w:val="007B5B0B"/>
    <w:rsid w:val="007C346C"/>
    <w:rsid w:val="007C6119"/>
    <w:rsid w:val="007C70FA"/>
    <w:rsid w:val="007D17EE"/>
    <w:rsid w:val="007D1A01"/>
    <w:rsid w:val="007D2B96"/>
    <w:rsid w:val="007D30E8"/>
    <w:rsid w:val="007E0014"/>
    <w:rsid w:val="007E0AA4"/>
    <w:rsid w:val="007E16AE"/>
    <w:rsid w:val="007E3F03"/>
    <w:rsid w:val="007E442D"/>
    <w:rsid w:val="007E62C6"/>
    <w:rsid w:val="007E7EEB"/>
    <w:rsid w:val="007F21D5"/>
    <w:rsid w:val="007F58AE"/>
    <w:rsid w:val="007F59EA"/>
    <w:rsid w:val="00801CAB"/>
    <w:rsid w:val="00801FF1"/>
    <w:rsid w:val="00802619"/>
    <w:rsid w:val="00803144"/>
    <w:rsid w:val="00804930"/>
    <w:rsid w:val="008071C1"/>
    <w:rsid w:val="00807251"/>
    <w:rsid w:val="00811772"/>
    <w:rsid w:val="0081247B"/>
    <w:rsid w:val="00812756"/>
    <w:rsid w:val="008166B4"/>
    <w:rsid w:val="00817F0B"/>
    <w:rsid w:val="00820621"/>
    <w:rsid w:val="00822998"/>
    <w:rsid w:val="00827053"/>
    <w:rsid w:val="00835A5F"/>
    <w:rsid w:val="00835E7C"/>
    <w:rsid w:val="008365B3"/>
    <w:rsid w:val="00841C9B"/>
    <w:rsid w:val="00852590"/>
    <w:rsid w:val="0085376A"/>
    <w:rsid w:val="00854705"/>
    <w:rsid w:val="00854CAF"/>
    <w:rsid w:val="00855D7F"/>
    <w:rsid w:val="008609BD"/>
    <w:rsid w:val="00861352"/>
    <w:rsid w:val="00862CDC"/>
    <w:rsid w:val="0086368F"/>
    <w:rsid w:val="0086669D"/>
    <w:rsid w:val="008674EF"/>
    <w:rsid w:val="00867CD0"/>
    <w:rsid w:val="0087189F"/>
    <w:rsid w:val="008719C4"/>
    <w:rsid w:val="008747B2"/>
    <w:rsid w:val="00874D58"/>
    <w:rsid w:val="00876A25"/>
    <w:rsid w:val="00877A9A"/>
    <w:rsid w:val="00877DE3"/>
    <w:rsid w:val="008803FC"/>
    <w:rsid w:val="00881F65"/>
    <w:rsid w:val="008846EB"/>
    <w:rsid w:val="0089022A"/>
    <w:rsid w:val="00896606"/>
    <w:rsid w:val="00896693"/>
    <w:rsid w:val="00896C18"/>
    <w:rsid w:val="008A0A42"/>
    <w:rsid w:val="008A14DC"/>
    <w:rsid w:val="008A18AC"/>
    <w:rsid w:val="008A7DAE"/>
    <w:rsid w:val="008B0675"/>
    <w:rsid w:val="008B0F47"/>
    <w:rsid w:val="008B18F3"/>
    <w:rsid w:val="008B2218"/>
    <w:rsid w:val="008B5AC4"/>
    <w:rsid w:val="008B78A7"/>
    <w:rsid w:val="008C04AC"/>
    <w:rsid w:val="008C0ED9"/>
    <w:rsid w:val="008C1FE2"/>
    <w:rsid w:val="008C5CC8"/>
    <w:rsid w:val="008C7FFC"/>
    <w:rsid w:val="008D01FC"/>
    <w:rsid w:val="008D02B0"/>
    <w:rsid w:val="008D30B6"/>
    <w:rsid w:val="008D410D"/>
    <w:rsid w:val="008D47EE"/>
    <w:rsid w:val="008D4A41"/>
    <w:rsid w:val="008D6AF5"/>
    <w:rsid w:val="008E1111"/>
    <w:rsid w:val="008E12ED"/>
    <w:rsid w:val="008E3E66"/>
    <w:rsid w:val="008E4672"/>
    <w:rsid w:val="008E4CCD"/>
    <w:rsid w:val="008F0A62"/>
    <w:rsid w:val="008F144D"/>
    <w:rsid w:val="008F4E14"/>
    <w:rsid w:val="008F51CC"/>
    <w:rsid w:val="008F63CB"/>
    <w:rsid w:val="008F6869"/>
    <w:rsid w:val="008F6A60"/>
    <w:rsid w:val="008F6B60"/>
    <w:rsid w:val="008F7ADC"/>
    <w:rsid w:val="00901671"/>
    <w:rsid w:val="00902B1E"/>
    <w:rsid w:val="009053FB"/>
    <w:rsid w:val="00905805"/>
    <w:rsid w:val="00905B8C"/>
    <w:rsid w:val="00906EA0"/>
    <w:rsid w:val="00906F71"/>
    <w:rsid w:val="00910273"/>
    <w:rsid w:val="00913378"/>
    <w:rsid w:val="009140C6"/>
    <w:rsid w:val="0091496B"/>
    <w:rsid w:val="009153E2"/>
    <w:rsid w:val="00917212"/>
    <w:rsid w:val="009179EB"/>
    <w:rsid w:val="0092218E"/>
    <w:rsid w:val="00922401"/>
    <w:rsid w:val="009242DF"/>
    <w:rsid w:val="009302E9"/>
    <w:rsid w:val="00931563"/>
    <w:rsid w:val="00931882"/>
    <w:rsid w:val="00931929"/>
    <w:rsid w:val="00932F34"/>
    <w:rsid w:val="00935723"/>
    <w:rsid w:val="009371EC"/>
    <w:rsid w:val="0094316E"/>
    <w:rsid w:val="0094445D"/>
    <w:rsid w:val="009475BA"/>
    <w:rsid w:val="00947A83"/>
    <w:rsid w:val="00952653"/>
    <w:rsid w:val="0095360B"/>
    <w:rsid w:val="00956AC7"/>
    <w:rsid w:val="00956B76"/>
    <w:rsid w:val="009622D2"/>
    <w:rsid w:val="0096242E"/>
    <w:rsid w:val="00963ED8"/>
    <w:rsid w:val="00964CC2"/>
    <w:rsid w:val="00967178"/>
    <w:rsid w:val="009706AA"/>
    <w:rsid w:val="009755D1"/>
    <w:rsid w:val="009822C9"/>
    <w:rsid w:val="009823CA"/>
    <w:rsid w:val="00983134"/>
    <w:rsid w:val="00983263"/>
    <w:rsid w:val="009839FA"/>
    <w:rsid w:val="0098546D"/>
    <w:rsid w:val="0098722A"/>
    <w:rsid w:val="0099006D"/>
    <w:rsid w:val="00994BFD"/>
    <w:rsid w:val="00997DAC"/>
    <w:rsid w:val="009A251A"/>
    <w:rsid w:val="009A2F4A"/>
    <w:rsid w:val="009A40E0"/>
    <w:rsid w:val="009A4DC0"/>
    <w:rsid w:val="009C0087"/>
    <w:rsid w:val="009C3D6E"/>
    <w:rsid w:val="009C5958"/>
    <w:rsid w:val="009C61A1"/>
    <w:rsid w:val="009C75EB"/>
    <w:rsid w:val="009D2A5C"/>
    <w:rsid w:val="009D2C5A"/>
    <w:rsid w:val="009D2DD5"/>
    <w:rsid w:val="009D5B50"/>
    <w:rsid w:val="009D630F"/>
    <w:rsid w:val="009E38B6"/>
    <w:rsid w:val="009E635B"/>
    <w:rsid w:val="009E6460"/>
    <w:rsid w:val="009F1746"/>
    <w:rsid w:val="009F3157"/>
    <w:rsid w:val="009F371C"/>
    <w:rsid w:val="009F53B6"/>
    <w:rsid w:val="009F72F2"/>
    <w:rsid w:val="00A004E4"/>
    <w:rsid w:val="00A0165C"/>
    <w:rsid w:val="00A021AD"/>
    <w:rsid w:val="00A037B5"/>
    <w:rsid w:val="00A0398A"/>
    <w:rsid w:val="00A04C6E"/>
    <w:rsid w:val="00A056D3"/>
    <w:rsid w:val="00A05F79"/>
    <w:rsid w:val="00A10F67"/>
    <w:rsid w:val="00A1169E"/>
    <w:rsid w:val="00A2010F"/>
    <w:rsid w:val="00A2126E"/>
    <w:rsid w:val="00A21E99"/>
    <w:rsid w:val="00A22A67"/>
    <w:rsid w:val="00A25A34"/>
    <w:rsid w:val="00A27AEF"/>
    <w:rsid w:val="00A31673"/>
    <w:rsid w:val="00A36ECF"/>
    <w:rsid w:val="00A37A92"/>
    <w:rsid w:val="00A4009E"/>
    <w:rsid w:val="00A44DF5"/>
    <w:rsid w:val="00A47278"/>
    <w:rsid w:val="00A50004"/>
    <w:rsid w:val="00A51CE8"/>
    <w:rsid w:val="00A551F5"/>
    <w:rsid w:val="00A55A77"/>
    <w:rsid w:val="00A55FDA"/>
    <w:rsid w:val="00A5638B"/>
    <w:rsid w:val="00A56D77"/>
    <w:rsid w:val="00A56FFC"/>
    <w:rsid w:val="00A60321"/>
    <w:rsid w:val="00A62E34"/>
    <w:rsid w:val="00A633C2"/>
    <w:rsid w:val="00A65C73"/>
    <w:rsid w:val="00A74379"/>
    <w:rsid w:val="00A768D4"/>
    <w:rsid w:val="00A81B01"/>
    <w:rsid w:val="00A829F3"/>
    <w:rsid w:val="00A82D14"/>
    <w:rsid w:val="00A83B2B"/>
    <w:rsid w:val="00A90734"/>
    <w:rsid w:val="00A92D95"/>
    <w:rsid w:val="00A93AC2"/>
    <w:rsid w:val="00A96B6B"/>
    <w:rsid w:val="00A97F68"/>
    <w:rsid w:val="00AA019D"/>
    <w:rsid w:val="00AA0816"/>
    <w:rsid w:val="00AA23DD"/>
    <w:rsid w:val="00AA2B7E"/>
    <w:rsid w:val="00AA2F45"/>
    <w:rsid w:val="00AA3003"/>
    <w:rsid w:val="00AA342F"/>
    <w:rsid w:val="00AA522A"/>
    <w:rsid w:val="00AA7645"/>
    <w:rsid w:val="00AB2998"/>
    <w:rsid w:val="00AB2A96"/>
    <w:rsid w:val="00AB4658"/>
    <w:rsid w:val="00AB552D"/>
    <w:rsid w:val="00AB5E38"/>
    <w:rsid w:val="00AC3A4F"/>
    <w:rsid w:val="00AC482C"/>
    <w:rsid w:val="00AC6E2A"/>
    <w:rsid w:val="00AC7D9B"/>
    <w:rsid w:val="00AD18AC"/>
    <w:rsid w:val="00AD2890"/>
    <w:rsid w:val="00AD572F"/>
    <w:rsid w:val="00AD6B4E"/>
    <w:rsid w:val="00AD7513"/>
    <w:rsid w:val="00AD796A"/>
    <w:rsid w:val="00AE59D2"/>
    <w:rsid w:val="00AE5FBC"/>
    <w:rsid w:val="00AF64D6"/>
    <w:rsid w:val="00B01559"/>
    <w:rsid w:val="00B03404"/>
    <w:rsid w:val="00B04251"/>
    <w:rsid w:val="00B10387"/>
    <w:rsid w:val="00B20986"/>
    <w:rsid w:val="00B22102"/>
    <w:rsid w:val="00B22E7C"/>
    <w:rsid w:val="00B2442C"/>
    <w:rsid w:val="00B25F34"/>
    <w:rsid w:val="00B2622D"/>
    <w:rsid w:val="00B27362"/>
    <w:rsid w:val="00B33464"/>
    <w:rsid w:val="00B35B52"/>
    <w:rsid w:val="00B35EAD"/>
    <w:rsid w:val="00B3652A"/>
    <w:rsid w:val="00B45074"/>
    <w:rsid w:val="00B50E04"/>
    <w:rsid w:val="00B51A5F"/>
    <w:rsid w:val="00B53450"/>
    <w:rsid w:val="00B557A9"/>
    <w:rsid w:val="00B56757"/>
    <w:rsid w:val="00B6149D"/>
    <w:rsid w:val="00B626A3"/>
    <w:rsid w:val="00B63945"/>
    <w:rsid w:val="00B662AD"/>
    <w:rsid w:val="00B75DB1"/>
    <w:rsid w:val="00B76363"/>
    <w:rsid w:val="00B779F3"/>
    <w:rsid w:val="00B845E9"/>
    <w:rsid w:val="00B85621"/>
    <w:rsid w:val="00B85987"/>
    <w:rsid w:val="00B91090"/>
    <w:rsid w:val="00B95DF4"/>
    <w:rsid w:val="00BA0552"/>
    <w:rsid w:val="00BA0F30"/>
    <w:rsid w:val="00BA5860"/>
    <w:rsid w:val="00BA772D"/>
    <w:rsid w:val="00BA795F"/>
    <w:rsid w:val="00BA7E13"/>
    <w:rsid w:val="00BB00C0"/>
    <w:rsid w:val="00BB6CD6"/>
    <w:rsid w:val="00BC35E6"/>
    <w:rsid w:val="00BD3A1D"/>
    <w:rsid w:val="00BD3FDD"/>
    <w:rsid w:val="00BD4432"/>
    <w:rsid w:val="00BD485D"/>
    <w:rsid w:val="00BD4B2C"/>
    <w:rsid w:val="00BD5918"/>
    <w:rsid w:val="00BE0D08"/>
    <w:rsid w:val="00BE2FE3"/>
    <w:rsid w:val="00BF155C"/>
    <w:rsid w:val="00BF510B"/>
    <w:rsid w:val="00C0292B"/>
    <w:rsid w:val="00C044F1"/>
    <w:rsid w:val="00C05B6F"/>
    <w:rsid w:val="00C062EF"/>
    <w:rsid w:val="00C0687E"/>
    <w:rsid w:val="00C068F9"/>
    <w:rsid w:val="00C06E53"/>
    <w:rsid w:val="00C07FEF"/>
    <w:rsid w:val="00C11FD1"/>
    <w:rsid w:val="00C1225E"/>
    <w:rsid w:val="00C122EF"/>
    <w:rsid w:val="00C12568"/>
    <w:rsid w:val="00C15D26"/>
    <w:rsid w:val="00C173E4"/>
    <w:rsid w:val="00C216E6"/>
    <w:rsid w:val="00C22920"/>
    <w:rsid w:val="00C23984"/>
    <w:rsid w:val="00C2570E"/>
    <w:rsid w:val="00C26AC0"/>
    <w:rsid w:val="00C30AF8"/>
    <w:rsid w:val="00C339C6"/>
    <w:rsid w:val="00C33FE5"/>
    <w:rsid w:val="00C35097"/>
    <w:rsid w:val="00C41E23"/>
    <w:rsid w:val="00C445B3"/>
    <w:rsid w:val="00C446E3"/>
    <w:rsid w:val="00C45503"/>
    <w:rsid w:val="00C5400F"/>
    <w:rsid w:val="00C5576D"/>
    <w:rsid w:val="00C575FD"/>
    <w:rsid w:val="00C60199"/>
    <w:rsid w:val="00C606E8"/>
    <w:rsid w:val="00C60C56"/>
    <w:rsid w:val="00C61502"/>
    <w:rsid w:val="00C624CF"/>
    <w:rsid w:val="00C63750"/>
    <w:rsid w:val="00C63F9A"/>
    <w:rsid w:val="00C65C37"/>
    <w:rsid w:val="00C66350"/>
    <w:rsid w:val="00C70AFA"/>
    <w:rsid w:val="00C71B78"/>
    <w:rsid w:val="00C74743"/>
    <w:rsid w:val="00C74B84"/>
    <w:rsid w:val="00C76A49"/>
    <w:rsid w:val="00C8551F"/>
    <w:rsid w:val="00C859EB"/>
    <w:rsid w:val="00C863A5"/>
    <w:rsid w:val="00C925BE"/>
    <w:rsid w:val="00C9452D"/>
    <w:rsid w:val="00C957F1"/>
    <w:rsid w:val="00C95FB4"/>
    <w:rsid w:val="00C972F7"/>
    <w:rsid w:val="00C97328"/>
    <w:rsid w:val="00CA0E94"/>
    <w:rsid w:val="00CA165D"/>
    <w:rsid w:val="00CA4970"/>
    <w:rsid w:val="00CA684C"/>
    <w:rsid w:val="00CB2FFE"/>
    <w:rsid w:val="00CB3A16"/>
    <w:rsid w:val="00CB51FF"/>
    <w:rsid w:val="00CB5CB3"/>
    <w:rsid w:val="00CC104E"/>
    <w:rsid w:val="00CC40AB"/>
    <w:rsid w:val="00CC64BF"/>
    <w:rsid w:val="00CC7C52"/>
    <w:rsid w:val="00CC7CF7"/>
    <w:rsid w:val="00CD28C2"/>
    <w:rsid w:val="00CD6BE1"/>
    <w:rsid w:val="00CE3514"/>
    <w:rsid w:val="00CE4874"/>
    <w:rsid w:val="00CE6C1C"/>
    <w:rsid w:val="00CE7A17"/>
    <w:rsid w:val="00CF0EDA"/>
    <w:rsid w:val="00CF19BB"/>
    <w:rsid w:val="00CF2F52"/>
    <w:rsid w:val="00CF3BE7"/>
    <w:rsid w:val="00CF3F60"/>
    <w:rsid w:val="00CF66E1"/>
    <w:rsid w:val="00CF6D21"/>
    <w:rsid w:val="00D03D90"/>
    <w:rsid w:val="00D04412"/>
    <w:rsid w:val="00D0647B"/>
    <w:rsid w:val="00D07FE1"/>
    <w:rsid w:val="00D1165E"/>
    <w:rsid w:val="00D11A83"/>
    <w:rsid w:val="00D14797"/>
    <w:rsid w:val="00D16473"/>
    <w:rsid w:val="00D2293E"/>
    <w:rsid w:val="00D25135"/>
    <w:rsid w:val="00D27F17"/>
    <w:rsid w:val="00D3039F"/>
    <w:rsid w:val="00D31492"/>
    <w:rsid w:val="00D3428B"/>
    <w:rsid w:val="00D373F7"/>
    <w:rsid w:val="00D41513"/>
    <w:rsid w:val="00D42B97"/>
    <w:rsid w:val="00D4773B"/>
    <w:rsid w:val="00D50AFD"/>
    <w:rsid w:val="00D53B22"/>
    <w:rsid w:val="00D54C7C"/>
    <w:rsid w:val="00D5754A"/>
    <w:rsid w:val="00D6191D"/>
    <w:rsid w:val="00D61FF0"/>
    <w:rsid w:val="00D62BD4"/>
    <w:rsid w:val="00D633BC"/>
    <w:rsid w:val="00D63A1D"/>
    <w:rsid w:val="00D7079F"/>
    <w:rsid w:val="00D71550"/>
    <w:rsid w:val="00D7233A"/>
    <w:rsid w:val="00D72C29"/>
    <w:rsid w:val="00D73FC6"/>
    <w:rsid w:val="00D74008"/>
    <w:rsid w:val="00D75AA2"/>
    <w:rsid w:val="00D77101"/>
    <w:rsid w:val="00D83158"/>
    <w:rsid w:val="00D837F8"/>
    <w:rsid w:val="00D83C1E"/>
    <w:rsid w:val="00D90609"/>
    <w:rsid w:val="00D951AA"/>
    <w:rsid w:val="00D95E9A"/>
    <w:rsid w:val="00DA0C54"/>
    <w:rsid w:val="00DA28CA"/>
    <w:rsid w:val="00DA2BE4"/>
    <w:rsid w:val="00DA3FE9"/>
    <w:rsid w:val="00DA473D"/>
    <w:rsid w:val="00DB001D"/>
    <w:rsid w:val="00DB3B2F"/>
    <w:rsid w:val="00DB40EE"/>
    <w:rsid w:val="00DB739E"/>
    <w:rsid w:val="00DB792A"/>
    <w:rsid w:val="00DC10FE"/>
    <w:rsid w:val="00DC3880"/>
    <w:rsid w:val="00DC6BF3"/>
    <w:rsid w:val="00DD0FEF"/>
    <w:rsid w:val="00DD2D33"/>
    <w:rsid w:val="00DD4876"/>
    <w:rsid w:val="00DD5EE8"/>
    <w:rsid w:val="00DE3B84"/>
    <w:rsid w:val="00DE741B"/>
    <w:rsid w:val="00DF0CAD"/>
    <w:rsid w:val="00DF1D4B"/>
    <w:rsid w:val="00DF27F6"/>
    <w:rsid w:val="00DF2B4C"/>
    <w:rsid w:val="00DF694B"/>
    <w:rsid w:val="00DF6E8D"/>
    <w:rsid w:val="00E00610"/>
    <w:rsid w:val="00E01897"/>
    <w:rsid w:val="00E02539"/>
    <w:rsid w:val="00E0284A"/>
    <w:rsid w:val="00E03592"/>
    <w:rsid w:val="00E03A3E"/>
    <w:rsid w:val="00E05300"/>
    <w:rsid w:val="00E12449"/>
    <w:rsid w:val="00E147B4"/>
    <w:rsid w:val="00E1617B"/>
    <w:rsid w:val="00E16BBB"/>
    <w:rsid w:val="00E20333"/>
    <w:rsid w:val="00E20387"/>
    <w:rsid w:val="00E20465"/>
    <w:rsid w:val="00E21ACA"/>
    <w:rsid w:val="00E24DEC"/>
    <w:rsid w:val="00E25C92"/>
    <w:rsid w:val="00E26C1A"/>
    <w:rsid w:val="00E33723"/>
    <w:rsid w:val="00E34DEA"/>
    <w:rsid w:val="00E410CF"/>
    <w:rsid w:val="00E413D4"/>
    <w:rsid w:val="00E42B5E"/>
    <w:rsid w:val="00E43395"/>
    <w:rsid w:val="00E452B8"/>
    <w:rsid w:val="00E452D9"/>
    <w:rsid w:val="00E465E2"/>
    <w:rsid w:val="00E60B99"/>
    <w:rsid w:val="00E61AF8"/>
    <w:rsid w:val="00E6542E"/>
    <w:rsid w:val="00E717B7"/>
    <w:rsid w:val="00E719F7"/>
    <w:rsid w:val="00E72EEA"/>
    <w:rsid w:val="00E749FD"/>
    <w:rsid w:val="00E74E82"/>
    <w:rsid w:val="00E81494"/>
    <w:rsid w:val="00E824FA"/>
    <w:rsid w:val="00E82F07"/>
    <w:rsid w:val="00E870A9"/>
    <w:rsid w:val="00E91D7C"/>
    <w:rsid w:val="00E920D8"/>
    <w:rsid w:val="00E928B5"/>
    <w:rsid w:val="00E930B8"/>
    <w:rsid w:val="00E94582"/>
    <w:rsid w:val="00E96330"/>
    <w:rsid w:val="00E96FC1"/>
    <w:rsid w:val="00EA114F"/>
    <w:rsid w:val="00EA138B"/>
    <w:rsid w:val="00EA2895"/>
    <w:rsid w:val="00EA3658"/>
    <w:rsid w:val="00EA3698"/>
    <w:rsid w:val="00EA455F"/>
    <w:rsid w:val="00EA5924"/>
    <w:rsid w:val="00EA6CB8"/>
    <w:rsid w:val="00EA7769"/>
    <w:rsid w:val="00EB16B2"/>
    <w:rsid w:val="00EB180C"/>
    <w:rsid w:val="00EB2540"/>
    <w:rsid w:val="00EB65A5"/>
    <w:rsid w:val="00EB759A"/>
    <w:rsid w:val="00EC3AA8"/>
    <w:rsid w:val="00EC3C33"/>
    <w:rsid w:val="00EC3C7A"/>
    <w:rsid w:val="00EC4F2C"/>
    <w:rsid w:val="00EC579F"/>
    <w:rsid w:val="00EC5A38"/>
    <w:rsid w:val="00ED3660"/>
    <w:rsid w:val="00ED5492"/>
    <w:rsid w:val="00ED6504"/>
    <w:rsid w:val="00ED66BD"/>
    <w:rsid w:val="00ED71AE"/>
    <w:rsid w:val="00EE121C"/>
    <w:rsid w:val="00EE450C"/>
    <w:rsid w:val="00EE55C0"/>
    <w:rsid w:val="00EE5CA6"/>
    <w:rsid w:val="00EE67B5"/>
    <w:rsid w:val="00EE7C2D"/>
    <w:rsid w:val="00EE7F4E"/>
    <w:rsid w:val="00EF075F"/>
    <w:rsid w:val="00EF2589"/>
    <w:rsid w:val="00EF30D0"/>
    <w:rsid w:val="00EF5A24"/>
    <w:rsid w:val="00EF5DB2"/>
    <w:rsid w:val="00EF60E5"/>
    <w:rsid w:val="00EF7BB1"/>
    <w:rsid w:val="00EF7F13"/>
    <w:rsid w:val="00F034B9"/>
    <w:rsid w:val="00F05A8F"/>
    <w:rsid w:val="00F05D1D"/>
    <w:rsid w:val="00F069EA"/>
    <w:rsid w:val="00F1023E"/>
    <w:rsid w:val="00F130C3"/>
    <w:rsid w:val="00F13199"/>
    <w:rsid w:val="00F17AA9"/>
    <w:rsid w:val="00F219F2"/>
    <w:rsid w:val="00F21BF8"/>
    <w:rsid w:val="00F326F5"/>
    <w:rsid w:val="00F33CF7"/>
    <w:rsid w:val="00F33E8A"/>
    <w:rsid w:val="00F37BD3"/>
    <w:rsid w:val="00F4132D"/>
    <w:rsid w:val="00F4196C"/>
    <w:rsid w:val="00F42A1F"/>
    <w:rsid w:val="00F46E57"/>
    <w:rsid w:val="00F4762A"/>
    <w:rsid w:val="00F5052C"/>
    <w:rsid w:val="00F51100"/>
    <w:rsid w:val="00F51B4E"/>
    <w:rsid w:val="00F51B55"/>
    <w:rsid w:val="00F52887"/>
    <w:rsid w:val="00F52B0A"/>
    <w:rsid w:val="00F549AF"/>
    <w:rsid w:val="00F559AA"/>
    <w:rsid w:val="00F56AE4"/>
    <w:rsid w:val="00F624A1"/>
    <w:rsid w:val="00F63C31"/>
    <w:rsid w:val="00F73147"/>
    <w:rsid w:val="00F73227"/>
    <w:rsid w:val="00F73986"/>
    <w:rsid w:val="00F73AB3"/>
    <w:rsid w:val="00F7495F"/>
    <w:rsid w:val="00F76373"/>
    <w:rsid w:val="00F76674"/>
    <w:rsid w:val="00F77E9E"/>
    <w:rsid w:val="00F8327E"/>
    <w:rsid w:val="00F92118"/>
    <w:rsid w:val="00F92388"/>
    <w:rsid w:val="00F93E36"/>
    <w:rsid w:val="00FA43F8"/>
    <w:rsid w:val="00FA4E5F"/>
    <w:rsid w:val="00FA5E96"/>
    <w:rsid w:val="00FA7AAE"/>
    <w:rsid w:val="00FA7FF4"/>
    <w:rsid w:val="00FB058A"/>
    <w:rsid w:val="00FB2752"/>
    <w:rsid w:val="00FB310A"/>
    <w:rsid w:val="00FB3E89"/>
    <w:rsid w:val="00FB7E15"/>
    <w:rsid w:val="00FC1132"/>
    <w:rsid w:val="00FC1330"/>
    <w:rsid w:val="00FC3879"/>
    <w:rsid w:val="00FC3908"/>
    <w:rsid w:val="00FC5B77"/>
    <w:rsid w:val="00FC616D"/>
    <w:rsid w:val="00FC7235"/>
    <w:rsid w:val="00FD1C2B"/>
    <w:rsid w:val="00FD1D03"/>
    <w:rsid w:val="00FD1DA9"/>
    <w:rsid w:val="00FD68AE"/>
    <w:rsid w:val="00FE054C"/>
    <w:rsid w:val="00FE14C9"/>
    <w:rsid w:val="00FE640C"/>
    <w:rsid w:val="00FE6E79"/>
    <w:rsid w:val="00FE7F8F"/>
    <w:rsid w:val="00FF0CB7"/>
    <w:rsid w:val="00FF1B09"/>
    <w:rsid w:val="00FF20BB"/>
    <w:rsid w:val="00FF33DF"/>
    <w:rsid w:val="00FF5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44B466C"/>
  <w15:docId w15:val="{46693CB1-0865-4DA2-9B6C-945CCCC9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A5"/>
    <w:pPr>
      <w:spacing w:after="120" w:line="260" w:lineRule="atLeast"/>
    </w:pPr>
    <w:rPr>
      <w:rFonts w:ascii="Book Antiqua" w:hAnsi="Book Antiqua"/>
    </w:rPr>
  </w:style>
  <w:style w:type="paragraph" w:styleId="Rubrik1">
    <w:name w:val="heading 1"/>
    <w:basedOn w:val="Normal"/>
    <w:next w:val="Normal"/>
    <w:link w:val="Rubrik1Char"/>
    <w:uiPriority w:val="9"/>
    <w:qFormat/>
    <w:rsid w:val="006E026B"/>
    <w:pPr>
      <w:keepNext/>
      <w:keepLines/>
      <w:spacing w:before="240" w:after="40"/>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38122B"/>
    <w:pPr>
      <w:keepNext/>
      <w:keepLines/>
      <w:spacing w:before="120" w:after="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38122B"/>
    <w:pPr>
      <w:keepNext/>
      <w:keepLines/>
      <w:spacing w:before="120" w:after="0"/>
      <w:outlineLvl w:val="2"/>
    </w:pPr>
    <w:rPr>
      <w:rFonts w:ascii="Arial" w:eastAsiaTheme="majorEastAsia" w:hAnsi="Arial" w:cstheme="majorBidi"/>
      <w:b/>
      <w:bCs/>
      <w:sz w:val="20"/>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8122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38122B"/>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7514BB"/>
    <w:pPr>
      <w:tabs>
        <w:tab w:val="center" w:pos="4536"/>
        <w:tab w:val="right" w:pos="9072"/>
      </w:tabs>
      <w:spacing w:after="0"/>
    </w:pPr>
  </w:style>
  <w:style w:type="character" w:customStyle="1" w:styleId="SidhuvudChar">
    <w:name w:val="Sidhuvud Char"/>
    <w:basedOn w:val="Standardstycketeckensnitt"/>
    <w:link w:val="Sidhuvud"/>
    <w:uiPriority w:val="99"/>
    <w:rsid w:val="007514BB"/>
    <w:rPr>
      <w:rFonts w:ascii="Palatino" w:hAnsi="Palatino"/>
      <w:sz w:val="20"/>
    </w:rPr>
  </w:style>
  <w:style w:type="paragraph" w:styleId="Sidfot">
    <w:name w:val="footer"/>
    <w:basedOn w:val="Normal"/>
    <w:link w:val="SidfotChar"/>
    <w:uiPriority w:val="99"/>
    <w:unhideWhenUsed/>
    <w:rsid w:val="007514BB"/>
    <w:pPr>
      <w:tabs>
        <w:tab w:val="center" w:pos="4536"/>
        <w:tab w:val="right" w:pos="9072"/>
      </w:tabs>
      <w:spacing w:after="0"/>
    </w:pPr>
  </w:style>
  <w:style w:type="character" w:customStyle="1" w:styleId="SidfotChar">
    <w:name w:val="Sidfot Char"/>
    <w:basedOn w:val="Standardstycketeckensnitt"/>
    <w:link w:val="Sidfot"/>
    <w:uiPriority w:val="99"/>
    <w:rsid w:val="007514BB"/>
    <w:rPr>
      <w:rFonts w:ascii="Palatino" w:hAnsi="Palatino"/>
      <w:sz w:val="20"/>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6E026B"/>
    <w:rPr>
      <w:rFonts w:ascii="Arial" w:eastAsiaTheme="majorEastAsia" w:hAnsi="Arial" w:cstheme="majorBidi"/>
      <w:b/>
      <w:bCs/>
      <w:sz w:val="28"/>
      <w:szCs w:val="28"/>
    </w:rPr>
  </w:style>
  <w:style w:type="paragraph" w:styleId="Rubrik">
    <w:name w:val="Title"/>
    <w:basedOn w:val="Normal"/>
    <w:next w:val="Normal"/>
    <w:link w:val="RubrikChar"/>
    <w:uiPriority w:val="10"/>
    <w:qFormat/>
    <w:rsid w:val="0027726F"/>
    <w:pPr>
      <w:keepNext/>
      <w:keepLines/>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27726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7514BB"/>
    <w:pPr>
      <w:spacing w:after="0"/>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27362"/>
    <w:pPr>
      <w:outlineLvl w:val="9"/>
    </w:pPr>
    <w:rPr>
      <w:lang w:bidi="en-US"/>
    </w:rPr>
  </w:style>
  <w:style w:type="paragraph" w:styleId="Innehll1">
    <w:name w:val="toc 1"/>
    <w:basedOn w:val="Normal"/>
    <w:next w:val="Normal"/>
    <w:autoRedefine/>
    <w:uiPriority w:val="39"/>
    <w:qFormat/>
    <w:rsid w:val="003D0294"/>
    <w:pPr>
      <w:spacing w:before="120" w:after="0"/>
    </w:pPr>
    <w:rPr>
      <w:rFonts w:ascii="Arial" w:hAnsi="Arial"/>
      <w:b/>
      <w:bCs/>
      <w:sz w:val="20"/>
      <w:szCs w:val="20"/>
    </w:rPr>
  </w:style>
  <w:style w:type="paragraph" w:styleId="Innehll2">
    <w:name w:val="toc 2"/>
    <w:basedOn w:val="Normal"/>
    <w:next w:val="Normal"/>
    <w:autoRedefine/>
    <w:uiPriority w:val="39"/>
    <w:qFormat/>
    <w:rsid w:val="003D0294"/>
    <w:pPr>
      <w:tabs>
        <w:tab w:val="left" w:pos="660"/>
        <w:tab w:val="right" w:leader="dot" w:pos="7643"/>
      </w:tabs>
      <w:spacing w:before="60" w:after="0"/>
      <w:ind w:left="221"/>
    </w:pPr>
    <w:rPr>
      <w:rFonts w:ascii="Arial" w:hAnsi="Arial"/>
      <w:noProof/>
      <w:sz w:val="18"/>
      <w:szCs w:val="20"/>
    </w:rPr>
  </w:style>
  <w:style w:type="paragraph" w:styleId="Innehll3">
    <w:name w:val="toc 3"/>
    <w:basedOn w:val="Normal"/>
    <w:next w:val="Normal"/>
    <w:autoRedefine/>
    <w:uiPriority w:val="39"/>
    <w:qFormat/>
    <w:rsid w:val="00DB3B2F"/>
    <w:pPr>
      <w:spacing w:before="20" w:after="0"/>
      <w:ind w:left="442"/>
    </w:pPr>
    <w:rPr>
      <w:rFonts w:ascii="Arial" w:hAnsi="Arial"/>
      <w:iCs/>
      <w:sz w:val="18"/>
      <w:szCs w:val="20"/>
    </w:rPr>
  </w:style>
  <w:style w:type="paragraph" w:styleId="Innehll4">
    <w:name w:val="toc 4"/>
    <w:basedOn w:val="Underrubrik"/>
    <w:next w:val="Underrubrik"/>
    <w:autoRedefine/>
    <w:uiPriority w:val="39"/>
    <w:rsid w:val="00DB3B2F"/>
    <w:pPr>
      <w:keepNext w:val="0"/>
      <w:keepLines w:val="0"/>
      <w:spacing w:after="0"/>
      <w:ind w:left="660"/>
    </w:pPr>
    <w:rPr>
      <w:rFonts w:ascii="Arial" w:eastAsiaTheme="minorHAnsi" w:hAnsi="Arial" w:cstheme="minorBidi"/>
      <w:iCs w:val="0"/>
      <w:sz w:val="18"/>
      <w:szCs w:val="18"/>
    </w:rPr>
  </w:style>
  <w:style w:type="paragraph" w:styleId="Innehll5">
    <w:name w:val="toc 5"/>
    <w:basedOn w:val="Normal"/>
    <w:next w:val="Normal"/>
    <w:autoRedefine/>
    <w:uiPriority w:val="39"/>
    <w:rsid w:val="00B27362"/>
    <w:pPr>
      <w:spacing w:after="0"/>
      <w:ind w:left="880"/>
    </w:pPr>
    <w:rPr>
      <w:rFonts w:asciiTheme="minorHAnsi" w:hAnsiTheme="minorHAnsi"/>
      <w:sz w:val="18"/>
      <w:szCs w:val="18"/>
    </w:rPr>
  </w:style>
  <w:style w:type="paragraph" w:styleId="Innehll6">
    <w:name w:val="toc 6"/>
    <w:basedOn w:val="Normal"/>
    <w:next w:val="Normal"/>
    <w:autoRedefine/>
    <w:uiPriority w:val="39"/>
    <w:rsid w:val="00B27362"/>
    <w:pPr>
      <w:spacing w:after="0"/>
      <w:ind w:left="1100"/>
    </w:pPr>
    <w:rPr>
      <w:rFonts w:asciiTheme="minorHAnsi" w:hAnsiTheme="minorHAnsi"/>
      <w:sz w:val="18"/>
      <w:szCs w:val="18"/>
    </w:rPr>
  </w:style>
  <w:style w:type="paragraph" w:styleId="Innehll7">
    <w:name w:val="toc 7"/>
    <w:basedOn w:val="Normal"/>
    <w:next w:val="Normal"/>
    <w:autoRedefine/>
    <w:uiPriority w:val="39"/>
    <w:rsid w:val="00B27362"/>
    <w:pPr>
      <w:spacing w:after="0"/>
      <w:ind w:left="1320"/>
    </w:pPr>
    <w:rPr>
      <w:rFonts w:asciiTheme="minorHAnsi" w:hAnsiTheme="minorHAnsi"/>
      <w:sz w:val="18"/>
      <w:szCs w:val="18"/>
    </w:rPr>
  </w:style>
  <w:style w:type="paragraph" w:styleId="Innehll8">
    <w:name w:val="toc 8"/>
    <w:basedOn w:val="Normal"/>
    <w:next w:val="Normal"/>
    <w:autoRedefine/>
    <w:uiPriority w:val="39"/>
    <w:rsid w:val="00B27362"/>
    <w:pPr>
      <w:spacing w:after="0"/>
      <w:ind w:left="1540"/>
    </w:pPr>
    <w:rPr>
      <w:rFonts w:asciiTheme="minorHAnsi" w:hAnsiTheme="minorHAnsi"/>
      <w:sz w:val="18"/>
      <w:szCs w:val="18"/>
    </w:rPr>
  </w:style>
  <w:style w:type="paragraph" w:styleId="Innehll9">
    <w:name w:val="toc 9"/>
    <w:basedOn w:val="Normal"/>
    <w:next w:val="Normal"/>
    <w:autoRedefine/>
    <w:uiPriority w:val="39"/>
    <w:rsid w:val="00B27362"/>
    <w:pPr>
      <w:spacing w:after="0"/>
      <w:ind w:left="1760"/>
    </w:pPr>
    <w:rPr>
      <w:rFonts w:asciiTheme="minorHAnsi" w:hAnsiTheme="minorHAnsi"/>
      <w:sz w:val="18"/>
      <w:szCs w:val="18"/>
    </w:rPr>
  </w:style>
  <w:style w:type="paragraph" w:styleId="Numreradlista">
    <w:name w:val="List Number"/>
    <w:basedOn w:val="Normal"/>
    <w:uiPriority w:val="99"/>
    <w:qFormat/>
    <w:rsid w:val="00093AD6"/>
    <w:pPr>
      <w:numPr>
        <w:numId w:val="2"/>
      </w:numPr>
      <w:contextualSpacing/>
    </w:pPr>
  </w:style>
  <w:style w:type="table" w:styleId="Tabellrutnt">
    <w:name w:val="Table Grid"/>
    <w:basedOn w:val="Normaltabel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B2B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2B5B"/>
    <w:rPr>
      <w:rFonts w:ascii="Tahoma" w:hAnsi="Tahoma" w:cs="Tahoma"/>
      <w:sz w:val="16"/>
      <w:szCs w:val="16"/>
    </w:rPr>
  </w:style>
  <w:style w:type="character" w:styleId="Platshllartext">
    <w:name w:val="Placeholder Text"/>
    <w:basedOn w:val="Standardstycketeckensnitt"/>
    <w:uiPriority w:val="99"/>
    <w:semiHidden/>
    <w:rsid w:val="00D14797"/>
    <w:rPr>
      <w:color w:val="808080"/>
    </w:rPr>
  </w:style>
  <w:style w:type="character" w:styleId="Hyperlnk">
    <w:name w:val="Hyperlink"/>
    <w:basedOn w:val="Standardstycketeckensnitt"/>
    <w:uiPriority w:val="99"/>
    <w:unhideWhenUsed/>
    <w:rsid w:val="000D7B94"/>
    <w:rPr>
      <w:color w:val="0000FF" w:themeColor="hyperlink"/>
      <w:u w:val="single"/>
    </w:rPr>
  </w:style>
  <w:style w:type="character" w:customStyle="1" w:styleId="IngetavstndChar">
    <w:name w:val="Inget avstånd Char"/>
    <w:basedOn w:val="Standardstycketeckensnitt"/>
    <w:link w:val="Ingetavstnd"/>
    <w:uiPriority w:val="1"/>
    <w:rsid w:val="007514BB"/>
    <w:rPr>
      <w:rFonts w:ascii="Palatino" w:hAnsi="Palatino"/>
      <w:sz w:val="20"/>
    </w:rPr>
  </w:style>
  <w:style w:type="paragraph" w:styleId="Beskrivning">
    <w:name w:val="caption"/>
    <w:basedOn w:val="Normal"/>
    <w:next w:val="Normal"/>
    <w:uiPriority w:val="35"/>
    <w:qFormat/>
    <w:rsid w:val="00617413"/>
    <w:pPr>
      <w:framePr w:hSpace="187" w:wrap="around" w:hAnchor="page" w:x="2002" w:y="4066"/>
      <w:spacing w:line="300" w:lineRule="atLeast"/>
    </w:pPr>
    <w:rPr>
      <w:rFonts w:ascii="Arial" w:eastAsiaTheme="majorEastAsia" w:hAnsi="Arial" w:cs="Arial"/>
      <w:color w:val="1F497D" w:themeColor="text2"/>
      <w:sz w:val="24"/>
      <w:szCs w:val="24"/>
      <w:lang w:val="en-GB" w:eastAsia="zh-TW"/>
    </w:rPr>
  </w:style>
  <w:style w:type="paragraph" w:styleId="Fotnotstext">
    <w:name w:val="footnote text"/>
    <w:basedOn w:val="Normal"/>
    <w:link w:val="FotnotstextChar"/>
    <w:uiPriority w:val="99"/>
    <w:rsid w:val="00AA23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rsid w:val="00AA23DD"/>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rsid w:val="00AA23DD"/>
    <w:rPr>
      <w:vertAlign w:val="superscript"/>
    </w:rPr>
  </w:style>
  <w:style w:type="character" w:styleId="Kommentarsreferens">
    <w:name w:val="annotation reference"/>
    <w:basedOn w:val="Standardstycketeckensnitt"/>
    <w:uiPriority w:val="99"/>
    <w:rsid w:val="00C0687E"/>
    <w:rPr>
      <w:sz w:val="16"/>
      <w:szCs w:val="16"/>
    </w:rPr>
  </w:style>
  <w:style w:type="paragraph" w:styleId="Kommentarer">
    <w:name w:val="annotation text"/>
    <w:basedOn w:val="Normal"/>
    <w:link w:val="KommentarerChar"/>
    <w:uiPriority w:val="99"/>
    <w:rsid w:val="00C0687E"/>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C0687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8722A"/>
    <w:pPr>
      <w:overflowPunct/>
      <w:autoSpaceDE/>
      <w:autoSpaceDN/>
      <w:adjustRightInd/>
      <w:textAlignment w:val="auto"/>
    </w:pPr>
    <w:rPr>
      <w:rFonts w:ascii="Book Antiqua" w:eastAsiaTheme="minorHAnsi" w:hAnsi="Book Antiqua" w:cstheme="minorBidi"/>
      <w:b/>
      <w:bCs/>
      <w:lang w:eastAsia="en-US"/>
    </w:rPr>
  </w:style>
  <w:style w:type="character" w:customStyle="1" w:styleId="KommentarsmneChar">
    <w:name w:val="Kommentarsämne Char"/>
    <w:basedOn w:val="KommentarerChar"/>
    <w:link w:val="Kommentarsmne"/>
    <w:uiPriority w:val="99"/>
    <w:semiHidden/>
    <w:rsid w:val="0098722A"/>
    <w:rPr>
      <w:rFonts w:ascii="Book Antiqua" w:eastAsia="Times New Roman" w:hAnsi="Book Antiqua" w:cs="Times New Roman"/>
      <w:b/>
      <w:bCs/>
      <w:sz w:val="20"/>
      <w:szCs w:val="20"/>
      <w:lang w:eastAsia="sv-SE"/>
    </w:rPr>
  </w:style>
  <w:style w:type="character" w:styleId="AnvndHyperlnk">
    <w:name w:val="FollowedHyperlink"/>
    <w:basedOn w:val="Standardstycketeckensnitt"/>
    <w:uiPriority w:val="99"/>
    <w:semiHidden/>
    <w:unhideWhenUsed/>
    <w:rsid w:val="00537852"/>
    <w:rPr>
      <w:color w:val="800080" w:themeColor="followedHyperlink"/>
      <w:u w:val="single"/>
    </w:rPr>
  </w:style>
  <w:style w:type="character" w:customStyle="1" w:styleId="FormatmallKursiv">
    <w:name w:val="Formatmall Kursiv"/>
    <w:basedOn w:val="Standardstycketeckensnitt"/>
    <w:rsid w:val="00537852"/>
    <w:rPr>
      <w:rFonts w:ascii="Times New Roman" w:hAnsi="Times New Roman"/>
      <w:i/>
      <w:iCs/>
      <w:sz w:val="24"/>
    </w:rPr>
  </w:style>
  <w:style w:type="paragraph" w:customStyle="1" w:styleId="FormatmallRubrik4InteFet">
    <w:name w:val="Formatmall Rubrik 4 + Inte Fet"/>
    <w:basedOn w:val="Rubrik4"/>
    <w:link w:val="FormatmallRubrik4InteFetChar"/>
    <w:rsid w:val="00561468"/>
    <w:pPr>
      <w:tabs>
        <w:tab w:val="left" w:pos="852"/>
      </w:tabs>
      <w:overflowPunct w:val="0"/>
      <w:autoSpaceDE w:val="0"/>
      <w:autoSpaceDN w:val="0"/>
      <w:adjustRightInd w:val="0"/>
      <w:spacing w:before="120" w:line="240" w:lineRule="auto"/>
      <w:textAlignment w:val="baseline"/>
    </w:pPr>
    <w:rPr>
      <w:rFonts w:ascii="Times New Roman" w:eastAsia="Times New Roman" w:hAnsi="Times New Roman" w:cs="Times New Roman"/>
      <w:b/>
      <w:bCs w:val="0"/>
      <w:i/>
      <w:sz w:val="24"/>
      <w:szCs w:val="24"/>
      <w:lang w:eastAsia="sv-SE"/>
    </w:rPr>
  </w:style>
  <w:style w:type="character" w:customStyle="1" w:styleId="FormatmallRubrik4InteFetChar">
    <w:name w:val="Formatmall Rubrik 4 + Inte Fet Char"/>
    <w:basedOn w:val="Rubrik4Char"/>
    <w:link w:val="FormatmallRubrik4InteFet"/>
    <w:rsid w:val="00561468"/>
    <w:rPr>
      <w:rFonts w:ascii="Times New Roman" w:eastAsia="Times New Roman" w:hAnsi="Times New Roman" w:cs="Times New Roman"/>
      <w:b/>
      <w:bCs w:val="0"/>
      <w:i/>
      <w:iCs/>
      <w:sz w:val="24"/>
      <w:szCs w:val="24"/>
      <w:lang w:eastAsia="sv-SE"/>
    </w:rPr>
  </w:style>
  <w:style w:type="paragraph" w:styleId="Normalwebb">
    <w:name w:val="Normal (Web)"/>
    <w:basedOn w:val="Normal"/>
    <w:uiPriority w:val="99"/>
    <w:unhideWhenUsed/>
    <w:rsid w:val="008D02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EC579F"/>
    <w:pPr>
      <w:spacing w:after="0" w:line="240" w:lineRule="auto"/>
    </w:pPr>
    <w:rPr>
      <w:rFonts w:ascii="Book Antiqua" w:hAnsi="Book Antiqua"/>
    </w:rPr>
  </w:style>
  <w:style w:type="paragraph" w:styleId="Avslutandetext">
    <w:name w:val="Closing"/>
    <w:basedOn w:val="Normal"/>
    <w:link w:val="AvslutandetextChar"/>
    <w:uiPriority w:val="99"/>
    <w:semiHidden/>
    <w:unhideWhenUsed/>
    <w:rsid w:val="00033EEA"/>
    <w:pPr>
      <w:spacing w:after="100" w:line="240" w:lineRule="auto"/>
      <w:ind w:left="4252"/>
    </w:pPr>
    <w:rPr>
      <w:rFonts w:ascii="Palatino" w:eastAsiaTheme="minorEastAsia" w:hAnsi="Palatino"/>
      <w:sz w:val="20"/>
    </w:rPr>
  </w:style>
  <w:style w:type="character" w:customStyle="1" w:styleId="AvslutandetextChar">
    <w:name w:val="Avslutande text Char"/>
    <w:basedOn w:val="Standardstycketeckensnitt"/>
    <w:link w:val="Avslutandetext"/>
    <w:uiPriority w:val="99"/>
    <w:semiHidden/>
    <w:rsid w:val="00033EEA"/>
    <w:rPr>
      <w:rFonts w:ascii="Palatino" w:eastAsiaTheme="minorEastAsia" w:hAnsi="Palatino"/>
      <w:sz w:val="20"/>
    </w:rPr>
  </w:style>
  <w:style w:type="paragraph" w:customStyle="1" w:styleId="ingress">
    <w:name w:val="ingress"/>
    <w:basedOn w:val="Normal"/>
    <w:rsid w:val="00DF0C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931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998">
      <w:bodyDiv w:val="1"/>
      <w:marLeft w:val="0"/>
      <w:marRight w:val="0"/>
      <w:marTop w:val="0"/>
      <w:marBottom w:val="0"/>
      <w:divBdr>
        <w:top w:val="none" w:sz="0" w:space="0" w:color="auto"/>
        <w:left w:val="none" w:sz="0" w:space="0" w:color="auto"/>
        <w:bottom w:val="none" w:sz="0" w:space="0" w:color="auto"/>
        <w:right w:val="none" w:sz="0" w:space="0" w:color="auto"/>
      </w:divBdr>
    </w:div>
    <w:div w:id="243420876">
      <w:bodyDiv w:val="1"/>
      <w:marLeft w:val="0"/>
      <w:marRight w:val="0"/>
      <w:marTop w:val="0"/>
      <w:marBottom w:val="0"/>
      <w:divBdr>
        <w:top w:val="none" w:sz="0" w:space="0" w:color="auto"/>
        <w:left w:val="none" w:sz="0" w:space="0" w:color="auto"/>
        <w:bottom w:val="none" w:sz="0" w:space="0" w:color="auto"/>
        <w:right w:val="none" w:sz="0" w:space="0" w:color="auto"/>
      </w:divBdr>
    </w:div>
    <w:div w:id="291521262">
      <w:bodyDiv w:val="1"/>
      <w:marLeft w:val="0"/>
      <w:marRight w:val="0"/>
      <w:marTop w:val="0"/>
      <w:marBottom w:val="0"/>
      <w:divBdr>
        <w:top w:val="none" w:sz="0" w:space="0" w:color="auto"/>
        <w:left w:val="none" w:sz="0" w:space="0" w:color="auto"/>
        <w:bottom w:val="none" w:sz="0" w:space="0" w:color="auto"/>
        <w:right w:val="none" w:sz="0" w:space="0" w:color="auto"/>
      </w:divBdr>
      <w:divsChild>
        <w:div w:id="355154922">
          <w:marLeft w:val="0"/>
          <w:marRight w:val="0"/>
          <w:marTop w:val="0"/>
          <w:marBottom w:val="0"/>
          <w:divBdr>
            <w:top w:val="none" w:sz="0" w:space="0" w:color="auto"/>
            <w:left w:val="none" w:sz="0" w:space="0" w:color="auto"/>
            <w:bottom w:val="none" w:sz="0" w:space="0" w:color="auto"/>
            <w:right w:val="none" w:sz="0" w:space="0" w:color="auto"/>
          </w:divBdr>
          <w:divsChild>
            <w:div w:id="1164902480">
              <w:marLeft w:val="0"/>
              <w:marRight w:val="0"/>
              <w:marTop w:val="0"/>
              <w:marBottom w:val="0"/>
              <w:divBdr>
                <w:top w:val="none" w:sz="0" w:space="0" w:color="auto"/>
                <w:left w:val="none" w:sz="0" w:space="0" w:color="auto"/>
                <w:bottom w:val="none" w:sz="0" w:space="0" w:color="auto"/>
                <w:right w:val="none" w:sz="0" w:space="0" w:color="auto"/>
              </w:divBdr>
              <w:divsChild>
                <w:div w:id="1735614986">
                  <w:marLeft w:val="0"/>
                  <w:marRight w:val="0"/>
                  <w:marTop w:val="0"/>
                  <w:marBottom w:val="0"/>
                  <w:divBdr>
                    <w:top w:val="none" w:sz="0" w:space="0" w:color="auto"/>
                    <w:left w:val="none" w:sz="0" w:space="0" w:color="auto"/>
                    <w:bottom w:val="none" w:sz="0" w:space="0" w:color="auto"/>
                    <w:right w:val="none" w:sz="0" w:space="0" w:color="auto"/>
                  </w:divBdr>
                  <w:divsChild>
                    <w:div w:id="890773859">
                      <w:marLeft w:val="0"/>
                      <w:marRight w:val="0"/>
                      <w:marTop w:val="0"/>
                      <w:marBottom w:val="0"/>
                      <w:divBdr>
                        <w:top w:val="none" w:sz="0" w:space="0" w:color="auto"/>
                        <w:left w:val="none" w:sz="0" w:space="0" w:color="auto"/>
                        <w:bottom w:val="none" w:sz="0" w:space="0" w:color="auto"/>
                        <w:right w:val="none" w:sz="0" w:space="0" w:color="auto"/>
                      </w:divBdr>
                      <w:divsChild>
                        <w:div w:id="1470592703">
                          <w:marLeft w:val="0"/>
                          <w:marRight w:val="0"/>
                          <w:marTop w:val="0"/>
                          <w:marBottom w:val="0"/>
                          <w:divBdr>
                            <w:top w:val="none" w:sz="0" w:space="0" w:color="auto"/>
                            <w:left w:val="none" w:sz="0" w:space="0" w:color="auto"/>
                            <w:bottom w:val="none" w:sz="0" w:space="0" w:color="auto"/>
                            <w:right w:val="none" w:sz="0" w:space="0" w:color="auto"/>
                          </w:divBdr>
                          <w:divsChild>
                            <w:div w:id="80953287">
                              <w:marLeft w:val="0"/>
                              <w:marRight w:val="0"/>
                              <w:marTop w:val="0"/>
                              <w:marBottom w:val="0"/>
                              <w:divBdr>
                                <w:top w:val="none" w:sz="0" w:space="0" w:color="auto"/>
                                <w:left w:val="none" w:sz="0" w:space="0" w:color="auto"/>
                                <w:bottom w:val="none" w:sz="0" w:space="0" w:color="auto"/>
                                <w:right w:val="none" w:sz="0" w:space="0" w:color="auto"/>
                              </w:divBdr>
                            </w:div>
                            <w:div w:id="112094565">
                              <w:marLeft w:val="0"/>
                              <w:marRight w:val="0"/>
                              <w:marTop w:val="0"/>
                              <w:marBottom w:val="0"/>
                              <w:divBdr>
                                <w:top w:val="none" w:sz="0" w:space="0" w:color="auto"/>
                                <w:left w:val="none" w:sz="0" w:space="0" w:color="auto"/>
                                <w:bottom w:val="none" w:sz="0" w:space="0" w:color="auto"/>
                                <w:right w:val="none" w:sz="0" w:space="0" w:color="auto"/>
                              </w:divBdr>
                            </w:div>
                            <w:div w:id="131095419">
                              <w:marLeft w:val="0"/>
                              <w:marRight w:val="0"/>
                              <w:marTop w:val="0"/>
                              <w:marBottom w:val="0"/>
                              <w:divBdr>
                                <w:top w:val="none" w:sz="0" w:space="0" w:color="auto"/>
                                <w:left w:val="none" w:sz="0" w:space="0" w:color="auto"/>
                                <w:bottom w:val="none" w:sz="0" w:space="0" w:color="auto"/>
                                <w:right w:val="none" w:sz="0" w:space="0" w:color="auto"/>
                              </w:divBdr>
                            </w:div>
                            <w:div w:id="358774867">
                              <w:marLeft w:val="0"/>
                              <w:marRight w:val="0"/>
                              <w:marTop w:val="0"/>
                              <w:marBottom w:val="0"/>
                              <w:divBdr>
                                <w:top w:val="none" w:sz="0" w:space="0" w:color="auto"/>
                                <w:left w:val="none" w:sz="0" w:space="0" w:color="auto"/>
                                <w:bottom w:val="none" w:sz="0" w:space="0" w:color="auto"/>
                                <w:right w:val="none" w:sz="0" w:space="0" w:color="auto"/>
                              </w:divBdr>
                            </w:div>
                            <w:div w:id="413747986">
                              <w:marLeft w:val="0"/>
                              <w:marRight w:val="0"/>
                              <w:marTop w:val="0"/>
                              <w:marBottom w:val="0"/>
                              <w:divBdr>
                                <w:top w:val="none" w:sz="0" w:space="0" w:color="auto"/>
                                <w:left w:val="none" w:sz="0" w:space="0" w:color="auto"/>
                                <w:bottom w:val="none" w:sz="0" w:space="0" w:color="auto"/>
                                <w:right w:val="none" w:sz="0" w:space="0" w:color="auto"/>
                              </w:divBdr>
                            </w:div>
                            <w:div w:id="426930684">
                              <w:marLeft w:val="0"/>
                              <w:marRight w:val="0"/>
                              <w:marTop w:val="0"/>
                              <w:marBottom w:val="0"/>
                              <w:divBdr>
                                <w:top w:val="none" w:sz="0" w:space="0" w:color="auto"/>
                                <w:left w:val="none" w:sz="0" w:space="0" w:color="auto"/>
                                <w:bottom w:val="none" w:sz="0" w:space="0" w:color="auto"/>
                                <w:right w:val="none" w:sz="0" w:space="0" w:color="auto"/>
                              </w:divBdr>
                            </w:div>
                            <w:div w:id="523250357">
                              <w:marLeft w:val="0"/>
                              <w:marRight w:val="0"/>
                              <w:marTop w:val="0"/>
                              <w:marBottom w:val="0"/>
                              <w:divBdr>
                                <w:top w:val="none" w:sz="0" w:space="0" w:color="auto"/>
                                <w:left w:val="none" w:sz="0" w:space="0" w:color="auto"/>
                                <w:bottom w:val="none" w:sz="0" w:space="0" w:color="auto"/>
                                <w:right w:val="none" w:sz="0" w:space="0" w:color="auto"/>
                              </w:divBdr>
                            </w:div>
                            <w:div w:id="617105308">
                              <w:marLeft w:val="0"/>
                              <w:marRight w:val="0"/>
                              <w:marTop w:val="0"/>
                              <w:marBottom w:val="0"/>
                              <w:divBdr>
                                <w:top w:val="none" w:sz="0" w:space="0" w:color="auto"/>
                                <w:left w:val="none" w:sz="0" w:space="0" w:color="auto"/>
                                <w:bottom w:val="none" w:sz="0" w:space="0" w:color="auto"/>
                                <w:right w:val="none" w:sz="0" w:space="0" w:color="auto"/>
                              </w:divBdr>
                            </w:div>
                            <w:div w:id="893389199">
                              <w:marLeft w:val="0"/>
                              <w:marRight w:val="0"/>
                              <w:marTop w:val="0"/>
                              <w:marBottom w:val="0"/>
                              <w:divBdr>
                                <w:top w:val="none" w:sz="0" w:space="0" w:color="auto"/>
                                <w:left w:val="none" w:sz="0" w:space="0" w:color="auto"/>
                                <w:bottom w:val="none" w:sz="0" w:space="0" w:color="auto"/>
                                <w:right w:val="none" w:sz="0" w:space="0" w:color="auto"/>
                              </w:divBdr>
                            </w:div>
                            <w:div w:id="981499763">
                              <w:marLeft w:val="0"/>
                              <w:marRight w:val="0"/>
                              <w:marTop w:val="0"/>
                              <w:marBottom w:val="0"/>
                              <w:divBdr>
                                <w:top w:val="none" w:sz="0" w:space="0" w:color="auto"/>
                                <w:left w:val="none" w:sz="0" w:space="0" w:color="auto"/>
                                <w:bottom w:val="none" w:sz="0" w:space="0" w:color="auto"/>
                                <w:right w:val="none" w:sz="0" w:space="0" w:color="auto"/>
                              </w:divBdr>
                            </w:div>
                            <w:div w:id="1073115004">
                              <w:marLeft w:val="0"/>
                              <w:marRight w:val="0"/>
                              <w:marTop w:val="0"/>
                              <w:marBottom w:val="0"/>
                              <w:divBdr>
                                <w:top w:val="none" w:sz="0" w:space="0" w:color="auto"/>
                                <w:left w:val="none" w:sz="0" w:space="0" w:color="auto"/>
                                <w:bottom w:val="none" w:sz="0" w:space="0" w:color="auto"/>
                                <w:right w:val="none" w:sz="0" w:space="0" w:color="auto"/>
                              </w:divBdr>
                            </w:div>
                            <w:div w:id="1159495445">
                              <w:marLeft w:val="0"/>
                              <w:marRight w:val="0"/>
                              <w:marTop w:val="0"/>
                              <w:marBottom w:val="0"/>
                              <w:divBdr>
                                <w:top w:val="none" w:sz="0" w:space="0" w:color="auto"/>
                                <w:left w:val="none" w:sz="0" w:space="0" w:color="auto"/>
                                <w:bottom w:val="none" w:sz="0" w:space="0" w:color="auto"/>
                                <w:right w:val="none" w:sz="0" w:space="0" w:color="auto"/>
                              </w:divBdr>
                            </w:div>
                            <w:div w:id="1247417138">
                              <w:marLeft w:val="0"/>
                              <w:marRight w:val="0"/>
                              <w:marTop w:val="0"/>
                              <w:marBottom w:val="0"/>
                              <w:divBdr>
                                <w:top w:val="none" w:sz="0" w:space="0" w:color="auto"/>
                                <w:left w:val="none" w:sz="0" w:space="0" w:color="auto"/>
                                <w:bottom w:val="none" w:sz="0" w:space="0" w:color="auto"/>
                                <w:right w:val="none" w:sz="0" w:space="0" w:color="auto"/>
                              </w:divBdr>
                            </w:div>
                            <w:div w:id="1253318719">
                              <w:marLeft w:val="0"/>
                              <w:marRight w:val="0"/>
                              <w:marTop w:val="0"/>
                              <w:marBottom w:val="0"/>
                              <w:divBdr>
                                <w:top w:val="none" w:sz="0" w:space="0" w:color="auto"/>
                                <w:left w:val="none" w:sz="0" w:space="0" w:color="auto"/>
                                <w:bottom w:val="none" w:sz="0" w:space="0" w:color="auto"/>
                                <w:right w:val="none" w:sz="0" w:space="0" w:color="auto"/>
                              </w:divBdr>
                            </w:div>
                            <w:div w:id="1324621373">
                              <w:marLeft w:val="0"/>
                              <w:marRight w:val="0"/>
                              <w:marTop w:val="0"/>
                              <w:marBottom w:val="0"/>
                              <w:divBdr>
                                <w:top w:val="none" w:sz="0" w:space="0" w:color="auto"/>
                                <w:left w:val="none" w:sz="0" w:space="0" w:color="auto"/>
                                <w:bottom w:val="none" w:sz="0" w:space="0" w:color="auto"/>
                                <w:right w:val="none" w:sz="0" w:space="0" w:color="auto"/>
                              </w:divBdr>
                            </w:div>
                            <w:div w:id="1346520608">
                              <w:marLeft w:val="0"/>
                              <w:marRight w:val="0"/>
                              <w:marTop w:val="0"/>
                              <w:marBottom w:val="0"/>
                              <w:divBdr>
                                <w:top w:val="none" w:sz="0" w:space="0" w:color="auto"/>
                                <w:left w:val="none" w:sz="0" w:space="0" w:color="auto"/>
                                <w:bottom w:val="none" w:sz="0" w:space="0" w:color="auto"/>
                                <w:right w:val="none" w:sz="0" w:space="0" w:color="auto"/>
                              </w:divBdr>
                            </w:div>
                            <w:div w:id="1354267213">
                              <w:marLeft w:val="0"/>
                              <w:marRight w:val="0"/>
                              <w:marTop w:val="0"/>
                              <w:marBottom w:val="0"/>
                              <w:divBdr>
                                <w:top w:val="none" w:sz="0" w:space="0" w:color="auto"/>
                                <w:left w:val="none" w:sz="0" w:space="0" w:color="auto"/>
                                <w:bottom w:val="none" w:sz="0" w:space="0" w:color="auto"/>
                                <w:right w:val="none" w:sz="0" w:space="0" w:color="auto"/>
                              </w:divBdr>
                            </w:div>
                            <w:div w:id="1711371332">
                              <w:marLeft w:val="0"/>
                              <w:marRight w:val="0"/>
                              <w:marTop w:val="0"/>
                              <w:marBottom w:val="0"/>
                              <w:divBdr>
                                <w:top w:val="none" w:sz="0" w:space="0" w:color="auto"/>
                                <w:left w:val="none" w:sz="0" w:space="0" w:color="auto"/>
                                <w:bottom w:val="none" w:sz="0" w:space="0" w:color="auto"/>
                                <w:right w:val="none" w:sz="0" w:space="0" w:color="auto"/>
                              </w:divBdr>
                            </w:div>
                            <w:div w:id="1904100719">
                              <w:marLeft w:val="0"/>
                              <w:marRight w:val="0"/>
                              <w:marTop w:val="0"/>
                              <w:marBottom w:val="0"/>
                              <w:divBdr>
                                <w:top w:val="none" w:sz="0" w:space="0" w:color="auto"/>
                                <w:left w:val="none" w:sz="0" w:space="0" w:color="auto"/>
                                <w:bottom w:val="none" w:sz="0" w:space="0" w:color="auto"/>
                                <w:right w:val="none" w:sz="0" w:space="0" w:color="auto"/>
                              </w:divBdr>
                            </w:div>
                            <w:div w:id="1924803578">
                              <w:marLeft w:val="0"/>
                              <w:marRight w:val="0"/>
                              <w:marTop w:val="0"/>
                              <w:marBottom w:val="0"/>
                              <w:divBdr>
                                <w:top w:val="none" w:sz="0" w:space="0" w:color="auto"/>
                                <w:left w:val="none" w:sz="0" w:space="0" w:color="auto"/>
                                <w:bottom w:val="none" w:sz="0" w:space="0" w:color="auto"/>
                                <w:right w:val="none" w:sz="0" w:space="0" w:color="auto"/>
                              </w:divBdr>
                            </w:div>
                            <w:div w:id="1975065691">
                              <w:marLeft w:val="0"/>
                              <w:marRight w:val="0"/>
                              <w:marTop w:val="0"/>
                              <w:marBottom w:val="0"/>
                              <w:divBdr>
                                <w:top w:val="none" w:sz="0" w:space="0" w:color="auto"/>
                                <w:left w:val="none" w:sz="0" w:space="0" w:color="auto"/>
                                <w:bottom w:val="none" w:sz="0" w:space="0" w:color="auto"/>
                                <w:right w:val="none" w:sz="0" w:space="0" w:color="auto"/>
                              </w:divBdr>
                            </w:div>
                            <w:div w:id="21104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15907">
      <w:bodyDiv w:val="1"/>
      <w:marLeft w:val="0"/>
      <w:marRight w:val="0"/>
      <w:marTop w:val="0"/>
      <w:marBottom w:val="0"/>
      <w:divBdr>
        <w:top w:val="none" w:sz="0" w:space="0" w:color="auto"/>
        <w:left w:val="none" w:sz="0" w:space="0" w:color="auto"/>
        <w:bottom w:val="none" w:sz="0" w:space="0" w:color="auto"/>
        <w:right w:val="none" w:sz="0" w:space="0" w:color="auto"/>
      </w:divBdr>
    </w:div>
    <w:div w:id="5879280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916">
          <w:marLeft w:val="0"/>
          <w:marRight w:val="0"/>
          <w:marTop w:val="0"/>
          <w:marBottom w:val="0"/>
          <w:divBdr>
            <w:top w:val="none" w:sz="0" w:space="0" w:color="auto"/>
            <w:left w:val="none" w:sz="0" w:space="0" w:color="auto"/>
            <w:bottom w:val="none" w:sz="0" w:space="0" w:color="auto"/>
            <w:right w:val="none" w:sz="0" w:space="0" w:color="auto"/>
          </w:divBdr>
          <w:divsChild>
            <w:div w:id="113524622">
              <w:marLeft w:val="0"/>
              <w:marRight w:val="0"/>
              <w:marTop w:val="0"/>
              <w:marBottom w:val="0"/>
              <w:divBdr>
                <w:top w:val="none" w:sz="0" w:space="0" w:color="auto"/>
                <w:left w:val="none" w:sz="0" w:space="0" w:color="auto"/>
                <w:bottom w:val="none" w:sz="0" w:space="0" w:color="auto"/>
                <w:right w:val="none" w:sz="0" w:space="0" w:color="auto"/>
              </w:divBdr>
              <w:divsChild>
                <w:div w:id="528032577">
                  <w:marLeft w:val="0"/>
                  <w:marRight w:val="0"/>
                  <w:marTop w:val="0"/>
                  <w:marBottom w:val="0"/>
                  <w:divBdr>
                    <w:top w:val="none" w:sz="0" w:space="0" w:color="auto"/>
                    <w:left w:val="none" w:sz="0" w:space="0" w:color="auto"/>
                    <w:bottom w:val="none" w:sz="0" w:space="0" w:color="auto"/>
                    <w:right w:val="none" w:sz="0" w:space="0" w:color="auto"/>
                  </w:divBdr>
                  <w:divsChild>
                    <w:div w:id="1945074651">
                      <w:marLeft w:val="0"/>
                      <w:marRight w:val="0"/>
                      <w:marTop w:val="0"/>
                      <w:marBottom w:val="0"/>
                      <w:divBdr>
                        <w:top w:val="none" w:sz="0" w:space="0" w:color="auto"/>
                        <w:left w:val="none" w:sz="0" w:space="0" w:color="auto"/>
                        <w:bottom w:val="none" w:sz="0" w:space="0" w:color="auto"/>
                        <w:right w:val="none" w:sz="0" w:space="0" w:color="auto"/>
                      </w:divBdr>
                      <w:divsChild>
                        <w:div w:id="855509579">
                          <w:marLeft w:val="0"/>
                          <w:marRight w:val="0"/>
                          <w:marTop w:val="0"/>
                          <w:marBottom w:val="0"/>
                          <w:divBdr>
                            <w:top w:val="none" w:sz="0" w:space="0" w:color="auto"/>
                            <w:left w:val="none" w:sz="0" w:space="0" w:color="auto"/>
                            <w:bottom w:val="none" w:sz="0" w:space="0" w:color="auto"/>
                            <w:right w:val="none" w:sz="0" w:space="0" w:color="auto"/>
                          </w:divBdr>
                          <w:divsChild>
                            <w:div w:id="1906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30822">
      <w:bodyDiv w:val="1"/>
      <w:marLeft w:val="0"/>
      <w:marRight w:val="0"/>
      <w:marTop w:val="0"/>
      <w:marBottom w:val="0"/>
      <w:divBdr>
        <w:top w:val="none" w:sz="0" w:space="0" w:color="auto"/>
        <w:left w:val="none" w:sz="0" w:space="0" w:color="auto"/>
        <w:bottom w:val="none" w:sz="0" w:space="0" w:color="auto"/>
        <w:right w:val="none" w:sz="0" w:space="0" w:color="auto"/>
      </w:divBdr>
    </w:div>
    <w:div w:id="840002435">
      <w:bodyDiv w:val="1"/>
      <w:marLeft w:val="0"/>
      <w:marRight w:val="0"/>
      <w:marTop w:val="0"/>
      <w:marBottom w:val="0"/>
      <w:divBdr>
        <w:top w:val="none" w:sz="0" w:space="0" w:color="auto"/>
        <w:left w:val="none" w:sz="0" w:space="0" w:color="auto"/>
        <w:bottom w:val="none" w:sz="0" w:space="0" w:color="auto"/>
        <w:right w:val="none" w:sz="0" w:space="0" w:color="auto"/>
      </w:divBdr>
    </w:div>
    <w:div w:id="1103302346">
      <w:bodyDiv w:val="1"/>
      <w:marLeft w:val="0"/>
      <w:marRight w:val="0"/>
      <w:marTop w:val="0"/>
      <w:marBottom w:val="0"/>
      <w:divBdr>
        <w:top w:val="none" w:sz="0" w:space="0" w:color="auto"/>
        <w:left w:val="none" w:sz="0" w:space="0" w:color="auto"/>
        <w:bottom w:val="none" w:sz="0" w:space="0" w:color="auto"/>
        <w:right w:val="none" w:sz="0" w:space="0" w:color="auto"/>
      </w:divBdr>
      <w:divsChild>
        <w:div w:id="1822845120">
          <w:marLeft w:val="0"/>
          <w:marRight w:val="0"/>
          <w:marTop w:val="0"/>
          <w:marBottom w:val="0"/>
          <w:divBdr>
            <w:top w:val="none" w:sz="0" w:space="0" w:color="auto"/>
            <w:left w:val="none" w:sz="0" w:space="0" w:color="auto"/>
            <w:bottom w:val="none" w:sz="0" w:space="0" w:color="auto"/>
            <w:right w:val="none" w:sz="0" w:space="0" w:color="auto"/>
          </w:divBdr>
          <w:divsChild>
            <w:div w:id="1507817827">
              <w:marLeft w:val="0"/>
              <w:marRight w:val="0"/>
              <w:marTop w:val="0"/>
              <w:marBottom w:val="0"/>
              <w:divBdr>
                <w:top w:val="none" w:sz="0" w:space="0" w:color="auto"/>
                <w:left w:val="none" w:sz="0" w:space="0" w:color="auto"/>
                <w:bottom w:val="none" w:sz="0" w:space="0" w:color="auto"/>
                <w:right w:val="none" w:sz="0" w:space="0" w:color="auto"/>
              </w:divBdr>
              <w:divsChild>
                <w:div w:id="1333216927">
                  <w:marLeft w:val="0"/>
                  <w:marRight w:val="0"/>
                  <w:marTop w:val="0"/>
                  <w:marBottom w:val="0"/>
                  <w:divBdr>
                    <w:top w:val="none" w:sz="0" w:space="0" w:color="auto"/>
                    <w:left w:val="none" w:sz="0" w:space="0" w:color="auto"/>
                    <w:bottom w:val="none" w:sz="0" w:space="0" w:color="auto"/>
                    <w:right w:val="none" w:sz="0" w:space="0" w:color="auto"/>
                  </w:divBdr>
                  <w:divsChild>
                    <w:div w:id="2083677964">
                      <w:marLeft w:val="0"/>
                      <w:marRight w:val="0"/>
                      <w:marTop w:val="0"/>
                      <w:marBottom w:val="0"/>
                      <w:divBdr>
                        <w:top w:val="none" w:sz="0" w:space="0" w:color="auto"/>
                        <w:left w:val="none" w:sz="0" w:space="0" w:color="auto"/>
                        <w:bottom w:val="none" w:sz="0" w:space="0" w:color="auto"/>
                        <w:right w:val="none" w:sz="0" w:space="0" w:color="auto"/>
                      </w:divBdr>
                      <w:divsChild>
                        <w:div w:id="1792164762">
                          <w:marLeft w:val="0"/>
                          <w:marRight w:val="0"/>
                          <w:marTop w:val="0"/>
                          <w:marBottom w:val="0"/>
                          <w:divBdr>
                            <w:top w:val="none" w:sz="0" w:space="0" w:color="auto"/>
                            <w:left w:val="none" w:sz="0" w:space="0" w:color="auto"/>
                            <w:bottom w:val="none" w:sz="0" w:space="0" w:color="auto"/>
                            <w:right w:val="none" w:sz="0" w:space="0" w:color="auto"/>
                          </w:divBdr>
                          <w:divsChild>
                            <w:div w:id="962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7121">
      <w:bodyDiv w:val="1"/>
      <w:marLeft w:val="0"/>
      <w:marRight w:val="0"/>
      <w:marTop w:val="0"/>
      <w:marBottom w:val="0"/>
      <w:divBdr>
        <w:top w:val="none" w:sz="0" w:space="0" w:color="auto"/>
        <w:left w:val="none" w:sz="0" w:space="0" w:color="auto"/>
        <w:bottom w:val="none" w:sz="0" w:space="0" w:color="auto"/>
        <w:right w:val="none" w:sz="0" w:space="0" w:color="auto"/>
      </w:divBdr>
      <w:divsChild>
        <w:div w:id="1219704007">
          <w:marLeft w:val="0"/>
          <w:marRight w:val="0"/>
          <w:marTop w:val="0"/>
          <w:marBottom w:val="0"/>
          <w:divBdr>
            <w:top w:val="none" w:sz="0" w:space="0" w:color="auto"/>
            <w:left w:val="none" w:sz="0" w:space="0" w:color="auto"/>
            <w:bottom w:val="none" w:sz="0" w:space="0" w:color="auto"/>
            <w:right w:val="none" w:sz="0" w:space="0" w:color="auto"/>
          </w:divBdr>
          <w:divsChild>
            <w:div w:id="324209209">
              <w:marLeft w:val="0"/>
              <w:marRight w:val="0"/>
              <w:marTop w:val="0"/>
              <w:marBottom w:val="0"/>
              <w:divBdr>
                <w:top w:val="none" w:sz="0" w:space="0" w:color="auto"/>
                <w:left w:val="none" w:sz="0" w:space="0" w:color="auto"/>
                <w:bottom w:val="none" w:sz="0" w:space="0" w:color="auto"/>
                <w:right w:val="none" w:sz="0" w:space="0" w:color="auto"/>
              </w:divBdr>
              <w:divsChild>
                <w:div w:id="468863542">
                  <w:marLeft w:val="0"/>
                  <w:marRight w:val="0"/>
                  <w:marTop w:val="0"/>
                  <w:marBottom w:val="0"/>
                  <w:divBdr>
                    <w:top w:val="none" w:sz="0" w:space="0" w:color="auto"/>
                    <w:left w:val="none" w:sz="0" w:space="0" w:color="auto"/>
                    <w:bottom w:val="none" w:sz="0" w:space="0" w:color="auto"/>
                    <w:right w:val="none" w:sz="0" w:space="0" w:color="auto"/>
                  </w:divBdr>
                  <w:divsChild>
                    <w:div w:id="1451968538">
                      <w:marLeft w:val="0"/>
                      <w:marRight w:val="0"/>
                      <w:marTop w:val="0"/>
                      <w:marBottom w:val="0"/>
                      <w:divBdr>
                        <w:top w:val="none" w:sz="0" w:space="0" w:color="auto"/>
                        <w:left w:val="none" w:sz="0" w:space="0" w:color="auto"/>
                        <w:bottom w:val="none" w:sz="0" w:space="0" w:color="auto"/>
                        <w:right w:val="none" w:sz="0" w:space="0" w:color="auto"/>
                      </w:divBdr>
                      <w:divsChild>
                        <w:div w:id="2033452041">
                          <w:marLeft w:val="0"/>
                          <w:marRight w:val="0"/>
                          <w:marTop w:val="0"/>
                          <w:marBottom w:val="0"/>
                          <w:divBdr>
                            <w:top w:val="none" w:sz="0" w:space="0" w:color="auto"/>
                            <w:left w:val="none" w:sz="0" w:space="0" w:color="auto"/>
                            <w:bottom w:val="none" w:sz="0" w:space="0" w:color="auto"/>
                            <w:right w:val="none" w:sz="0" w:space="0" w:color="auto"/>
                          </w:divBdr>
                          <w:divsChild>
                            <w:div w:id="350302972">
                              <w:marLeft w:val="0"/>
                              <w:marRight w:val="0"/>
                              <w:marTop w:val="0"/>
                              <w:marBottom w:val="0"/>
                              <w:divBdr>
                                <w:top w:val="none" w:sz="0" w:space="0" w:color="auto"/>
                                <w:left w:val="none" w:sz="0" w:space="0" w:color="auto"/>
                                <w:bottom w:val="none" w:sz="0" w:space="0" w:color="auto"/>
                                <w:right w:val="none" w:sz="0" w:space="0" w:color="auto"/>
                              </w:divBdr>
                              <w:divsChild>
                                <w:div w:id="12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111776">
      <w:bodyDiv w:val="1"/>
      <w:marLeft w:val="0"/>
      <w:marRight w:val="0"/>
      <w:marTop w:val="0"/>
      <w:marBottom w:val="0"/>
      <w:divBdr>
        <w:top w:val="none" w:sz="0" w:space="0" w:color="auto"/>
        <w:left w:val="none" w:sz="0" w:space="0" w:color="auto"/>
        <w:bottom w:val="none" w:sz="0" w:space="0" w:color="auto"/>
        <w:right w:val="none" w:sz="0" w:space="0" w:color="auto"/>
      </w:divBdr>
    </w:div>
    <w:div w:id="1522553413">
      <w:bodyDiv w:val="1"/>
      <w:marLeft w:val="0"/>
      <w:marRight w:val="0"/>
      <w:marTop w:val="0"/>
      <w:marBottom w:val="0"/>
      <w:divBdr>
        <w:top w:val="none" w:sz="0" w:space="0" w:color="auto"/>
        <w:left w:val="none" w:sz="0" w:space="0" w:color="auto"/>
        <w:bottom w:val="none" w:sz="0" w:space="0" w:color="auto"/>
        <w:right w:val="none" w:sz="0" w:space="0" w:color="auto"/>
      </w:divBdr>
      <w:divsChild>
        <w:div w:id="943924369">
          <w:marLeft w:val="0"/>
          <w:marRight w:val="0"/>
          <w:marTop w:val="0"/>
          <w:marBottom w:val="0"/>
          <w:divBdr>
            <w:top w:val="none" w:sz="0" w:space="0" w:color="auto"/>
            <w:left w:val="none" w:sz="0" w:space="0" w:color="auto"/>
            <w:bottom w:val="none" w:sz="0" w:space="0" w:color="auto"/>
            <w:right w:val="none" w:sz="0" w:space="0" w:color="auto"/>
          </w:divBdr>
          <w:divsChild>
            <w:div w:id="1454707648">
              <w:marLeft w:val="0"/>
              <w:marRight w:val="0"/>
              <w:marTop w:val="0"/>
              <w:marBottom w:val="0"/>
              <w:divBdr>
                <w:top w:val="none" w:sz="0" w:space="0" w:color="auto"/>
                <w:left w:val="none" w:sz="0" w:space="0" w:color="auto"/>
                <w:bottom w:val="none" w:sz="0" w:space="0" w:color="auto"/>
                <w:right w:val="none" w:sz="0" w:space="0" w:color="auto"/>
              </w:divBdr>
              <w:divsChild>
                <w:div w:id="815226802">
                  <w:marLeft w:val="0"/>
                  <w:marRight w:val="0"/>
                  <w:marTop w:val="0"/>
                  <w:marBottom w:val="0"/>
                  <w:divBdr>
                    <w:top w:val="none" w:sz="0" w:space="0" w:color="auto"/>
                    <w:left w:val="none" w:sz="0" w:space="0" w:color="auto"/>
                    <w:bottom w:val="none" w:sz="0" w:space="0" w:color="auto"/>
                    <w:right w:val="none" w:sz="0" w:space="0" w:color="auto"/>
                  </w:divBdr>
                  <w:divsChild>
                    <w:div w:id="1766152203">
                      <w:marLeft w:val="0"/>
                      <w:marRight w:val="0"/>
                      <w:marTop w:val="0"/>
                      <w:marBottom w:val="0"/>
                      <w:divBdr>
                        <w:top w:val="none" w:sz="0" w:space="0" w:color="auto"/>
                        <w:left w:val="none" w:sz="0" w:space="0" w:color="auto"/>
                        <w:bottom w:val="none" w:sz="0" w:space="0" w:color="auto"/>
                        <w:right w:val="none" w:sz="0" w:space="0" w:color="auto"/>
                      </w:divBdr>
                      <w:divsChild>
                        <w:div w:id="19919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marie.karlsson@jordbruksverket.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rdbruksverket.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dbruksverket.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b.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rdbruksverket.se" TargetMode="External"/><Relationship Id="rId14" Type="http://schemas.openxmlformats.org/officeDocument/2006/relationships/hyperlink" Target="mailto:daniel.persson@jordbruksverket.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gsod\AppData\Roaming\Microsoft\Mallar\Kvalitetsdeklaration.dotx" TargetMode="External"/></Relationship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5A417"/>
      </a:accent1>
      <a:accent2>
        <a:srgbClr val="919294"/>
      </a:accent2>
      <a:accent3>
        <a:srgbClr val="1098AF"/>
      </a:accent3>
      <a:accent4>
        <a:srgbClr val="A2B236"/>
      </a:accent4>
      <a:accent5>
        <a:srgbClr val="702679"/>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360E-09D3-4213-8218-29E29E57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Kvalitetsdeklaration.dotx</Template>
  <TotalTime>145</TotalTime>
  <Pages>15</Pages>
  <Words>4883</Words>
  <Characters>25883</Characters>
  <Application>Microsoft Office Word</Application>
  <DocSecurity>0</DocSecurity>
  <Lines>215</Lines>
  <Paragraphs>61</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Kvalitet för officiell statistik - en handbok</dc:subject>
  <dc:creator>Tegenrot Håkan RM/L-Ö</dc:creator>
  <cp:lastModifiedBy>Daniel Persson</cp:lastModifiedBy>
  <cp:revision>29</cp:revision>
  <cp:lastPrinted>2018-02-04T18:25:00Z</cp:lastPrinted>
  <dcterms:created xsi:type="dcterms:W3CDTF">2019-02-25T14:26:00Z</dcterms:created>
  <dcterms:modified xsi:type="dcterms:W3CDTF">2020-02-25T06:16:00Z</dcterms:modified>
</cp:coreProperties>
</file>